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85967" w14:textId="354238B8" w:rsidR="00181E01" w:rsidRDefault="006251F6" w:rsidP="0053748E">
      <w:pPr>
        <w:jc w:val="center"/>
        <w:rPr>
          <w:spacing w:val="80"/>
          <w:sz w:val="28"/>
        </w:rPr>
      </w:pPr>
      <w:bookmarkStart w:id="0" w:name="_GoBack"/>
      <w:bookmarkEnd w:id="0"/>
      <w:r>
        <w:rPr>
          <w:spacing w:val="80"/>
          <w:sz w:val="28"/>
        </w:rPr>
        <w:t>DRAFT</w:t>
      </w: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151FD1">
        <w:trPr>
          <w:cantSplit/>
          <w:trHeight w:hRule="exact" w:val="1881"/>
          <w:jc w:val="right"/>
        </w:trPr>
        <w:tc>
          <w:tcPr>
            <w:tcW w:w="9000" w:type="dxa"/>
            <w:shd w:val="clear" w:color="auto" w:fill="8DC63F"/>
            <w:vAlign w:val="center"/>
          </w:tcPr>
          <w:p w14:paraId="3EF67A49" w14:textId="67881A82" w:rsidR="00BD221D" w:rsidRPr="00151FD1" w:rsidRDefault="00B61584" w:rsidP="00BD221D">
            <w:pPr>
              <w:pStyle w:val="eTRMHeading1"/>
              <w:jc w:val="center"/>
              <w:rPr>
                <w:sz w:val="28"/>
              </w:rPr>
            </w:pPr>
            <w:r w:rsidRPr="00151FD1">
              <w:rPr>
                <w:sz w:val="28"/>
              </w:rPr>
              <w:t>HVAC</w:t>
            </w:r>
          </w:p>
          <w:p w14:paraId="5EFA2BA1" w14:textId="2067F524" w:rsidR="00BD221D" w:rsidRPr="00151FD1" w:rsidRDefault="00386A29" w:rsidP="00B561EE">
            <w:pPr>
              <w:pStyle w:val="eTRMHeading2"/>
              <w:rPr>
                <w:color w:val="FFFFFF" w:themeColor="background1"/>
                <w:spacing w:val="60"/>
                <w:sz w:val="28"/>
              </w:rPr>
            </w:pPr>
            <w:r w:rsidRPr="00151FD1">
              <w:rPr>
                <w:color w:val="FFFFFF" w:themeColor="background1"/>
                <w:spacing w:val="60"/>
                <w:sz w:val="32"/>
              </w:rPr>
              <w:t xml:space="preserve">Unitary Air-Cooled AC </w:t>
            </w:r>
            <w:r w:rsidR="004E06C3">
              <w:rPr>
                <w:color w:val="FFFFFF" w:themeColor="background1"/>
                <w:spacing w:val="60"/>
                <w:sz w:val="32"/>
              </w:rPr>
              <w:t>or</w:t>
            </w:r>
            <w:r w:rsidRPr="00151FD1">
              <w:rPr>
                <w:color w:val="FFFFFF" w:themeColor="background1"/>
                <w:spacing w:val="60"/>
                <w:sz w:val="32"/>
              </w:rPr>
              <w:t xml:space="preserve"> Heat Pump, </w:t>
            </w:r>
            <w:r w:rsidR="00C16C6F">
              <w:rPr>
                <w:color w:val="FFFFFF" w:themeColor="background1"/>
                <w:spacing w:val="60"/>
                <w:sz w:val="32"/>
              </w:rPr>
              <w:br/>
            </w:r>
            <w:r w:rsidRPr="00151FD1">
              <w:rPr>
                <w:rFonts w:cs="Calibri Light"/>
                <w:color w:val="FFFFFF" w:themeColor="background1"/>
                <w:spacing w:val="60"/>
                <w:sz w:val="32"/>
              </w:rPr>
              <w:t>≥</w:t>
            </w:r>
            <w:r w:rsidRPr="00151FD1">
              <w:rPr>
                <w:color w:val="FFFFFF" w:themeColor="background1"/>
                <w:spacing w:val="60"/>
                <w:sz w:val="32"/>
              </w:rPr>
              <w:t xml:space="preserve"> 65 </w:t>
            </w:r>
            <w:r w:rsidRPr="00874271">
              <w:rPr>
                <w:caps w:val="0"/>
                <w:color w:val="FFFFFF" w:themeColor="background1"/>
                <w:spacing w:val="60"/>
                <w:sz w:val="32"/>
              </w:rPr>
              <w:t>kBtuh</w:t>
            </w:r>
            <w:r w:rsidRPr="00151FD1">
              <w:rPr>
                <w:color w:val="FFFFFF" w:themeColor="background1"/>
                <w:spacing w:val="60"/>
                <w:sz w:val="32"/>
              </w:rPr>
              <w:t>, Commercial</w:t>
            </w:r>
          </w:p>
          <w:p w14:paraId="10BE1877" w14:textId="2CE750B0" w:rsidR="00151FD1" w:rsidRPr="00151FD1" w:rsidRDefault="00151FD1" w:rsidP="00B561EE">
            <w:pPr>
              <w:pStyle w:val="eTRMHeading2"/>
              <w:rPr>
                <w:color w:val="FFFFFF" w:themeColor="background1"/>
                <w:spacing w:val="0"/>
                <w:sz w:val="28"/>
              </w:rPr>
            </w:pPr>
            <w:r w:rsidRPr="00151FD1">
              <w:rPr>
                <w:color w:val="FFFFFF" w:themeColor="background1"/>
                <w:spacing w:val="0"/>
                <w:sz w:val="28"/>
              </w:rPr>
              <w:t>SWHC013-01</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67C243CD" w14:textId="35582AF7" w:rsidR="00D21FD1"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D21FD1">
        <w:rPr>
          <w:noProof/>
        </w:rPr>
        <w:t>Measure Name</w:t>
      </w:r>
      <w:r w:rsidR="00D21FD1">
        <w:rPr>
          <w:noProof/>
        </w:rPr>
        <w:tab/>
      </w:r>
      <w:r w:rsidR="00D21FD1">
        <w:rPr>
          <w:noProof/>
        </w:rPr>
        <w:fldChar w:fldCharType="begin"/>
      </w:r>
      <w:r w:rsidR="00D21FD1">
        <w:rPr>
          <w:noProof/>
        </w:rPr>
        <w:instrText xml:space="preserve"> PAGEREF _Toc20997602 \h </w:instrText>
      </w:r>
      <w:r w:rsidR="00D21FD1">
        <w:rPr>
          <w:noProof/>
        </w:rPr>
      </w:r>
      <w:r w:rsidR="00D21FD1">
        <w:rPr>
          <w:noProof/>
        </w:rPr>
        <w:fldChar w:fldCharType="separate"/>
      </w:r>
      <w:r w:rsidR="00D21FD1">
        <w:rPr>
          <w:noProof/>
        </w:rPr>
        <w:t>3</w:t>
      </w:r>
      <w:r w:rsidR="00D21FD1">
        <w:rPr>
          <w:noProof/>
        </w:rPr>
        <w:fldChar w:fldCharType="end"/>
      </w:r>
    </w:p>
    <w:p w14:paraId="22AFEC29" w14:textId="75B5412D" w:rsidR="00D21FD1" w:rsidRDefault="00D21FD1">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_Toc20997603 \h </w:instrText>
      </w:r>
      <w:r>
        <w:rPr>
          <w:noProof/>
        </w:rPr>
      </w:r>
      <w:r>
        <w:rPr>
          <w:noProof/>
        </w:rPr>
        <w:fldChar w:fldCharType="separate"/>
      </w:r>
      <w:r>
        <w:rPr>
          <w:noProof/>
        </w:rPr>
        <w:t>3</w:t>
      </w:r>
      <w:r>
        <w:rPr>
          <w:noProof/>
        </w:rPr>
        <w:fldChar w:fldCharType="end"/>
      </w:r>
    </w:p>
    <w:p w14:paraId="5203AED2" w14:textId="499C2DF9" w:rsidR="00D21FD1" w:rsidRDefault="00D21FD1">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_Toc20997604 \h </w:instrText>
      </w:r>
      <w:r>
        <w:rPr>
          <w:noProof/>
        </w:rPr>
      </w:r>
      <w:r>
        <w:rPr>
          <w:noProof/>
        </w:rPr>
        <w:fldChar w:fldCharType="separate"/>
      </w:r>
      <w:r>
        <w:rPr>
          <w:noProof/>
        </w:rPr>
        <w:t>3</w:t>
      </w:r>
      <w:r>
        <w:rPr>
          <w:noProof/>
        </w:rPr>
        <w:fldChar w:fldCharType="end"/>
      </w:r>
    </w:p>
    <w:p w14:paraId="72568487" w14:textId="1D1AE274" w:rsidR="00D21FD1" w:rsidRDefault="00D21FD1">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_Toc20997605 \h </w:instrText>
      </w:r>
      <w:r>
        <w:rPr>
          <w:noProof/>
        </w:rPr>
      </w:r>
      <w:r>
        <w:rPr>
          <w:noProof/>
        </w:rPr>
        <w:fldChar w:fldCharType="separate"/>
      </w:r>
      <w:r>
        <w:rPr>
          <w:noProof/>
        </w:rPr>
        <w:t>4</w:t>
      </w:r>
      <w:r>
        <w:rPr>
          <w:noProof/>
        </w:rPr>
        <w:fldChar w:fldCharType="end"/>
      </w:r>
    </w:p>
    <w:p w14:paraId="7C2731DD" w14:textId="3753EF6E" w:rsidR="00D21FD1" w:rsidRDefault="00D21FD1">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_Toc20997606 \h </w:instrText>
      </w:r>
      <w:r>
        <w:rPr>
          <w:noProof/>
        </w:rPr>
      </w:r>
      <w:r>
        <w:rPr>
          <w:noProof/>
        </w:rPr>
        <w:fldChar w:fldCharType="separate"/>
      </w:r>
      <w:r>
        <w:rPr>
          <w:noProof/>
        </w:rPr>
        <w:t>4</w:t>
      </w:r>
      <w:r>
        <w:rPr>
          <w:noProof/>
        </w:rPr>
        <w:fldChar w:fldCharType="end"/>
      </w:r>
    </w:p>
    <w:p w14:paraId="06B0F130" w14:textId="134E7134" w:rsidR="00D21FD1" w:rsidRDefault="00D21FD1">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_Toc20997607 \h </w:instrText>
      </w:r>
      <w:r>
        <w:rPr>
          <w:noProof/>
        </w:rPr>
      </w:r>
      <w:r>
        <w:rPr>
          <w:noProof/>
        </w:rPr>
        <w:fldChar w:fldCharType="separate"/>
      </w:r>
      <w:r>
        <w:rPr>
          <w:noProof/>
        </w:rPr>
        <w:t>4</w:t>
      </w:r>
      <w:r>
        <w:rPr>
          <w:noProof/>
        </w:rPr>
        <w:fldChar w:fldCharType="end"/>
      </w:r>
    </w:p>
    <w:p w14:paraId="4D216254" w14:textId="22235E83" w:rsidR="00D21FD1" w:rsidRDefault="00D21FD1">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_Toc20997608 \h </w:instrText>
      </w:r>
      <w:r>
        <w:rPr>
          <w:noProof/>
        </w:rPr>
      </w:r>
      <w:r>
        <w:rPr>
          <w:noProof/>
        </w:rPr>
        <w:fldChar w:fldCharType="separate"/>
      </w:r>
      <w:r>
        <w:rPr>
          <w:noProof/>
        </w:rPr>
        <w:t>5</w:t>
      </w:r>
      <w:r>
        <w:rPr>
          <w:noProof/>
        </w:rPr>
        <w:fldChar w:fldCharType="end"/>
      </w:r>
    </w:p>
    <w:p w14:paraId="14C60A95" w14:textId="45149751" w:rsidR="00D21FD1" w:rsidRDefault="00D21FD1">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_Toc20997609 \h </w:instrText>
      </w:r>
      <w:r>
        <w:rPr>
          <w:noProof/>
        </w:rPr>
      </w:r>
      <w:r>
        <w:rPr>
          <w:noProof/>
        </w:rPr>
        <w:fldChar w:fldCharType="separate"/>
      </w:r>
      <w:r>
        <w:rPr>
          <w:noProof/>
        </w:rPr>
        <w:t>6</w:t>
      </w:r>
      <w:r>
        <w:rPr>
          <w:noProof/>
        </w:rPr>
        <w:fldChar w:fldCharType="end"/>
      </w:r>
    </w:p>
    <w:p w14:paraId="0C90B659" w14:textId="6F26C2AD" w:rsidR="00D21FD1" w:rsidRDefault="00D21FD1">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_Toc20997610 \h </w:instrText>
      </w:r>
      <w:r>
        <w:rPr>
          <w:noProof/>
        </w:rPr>
      </w:r>
      <w:r>
        <w:rPr>
          <w:noProof/>
        </w:rPr>
        <w:fldChar w:fldCharType="separate"/>
      </w:r>
      <w:r>
        <w:rPr>
          <w:noProof/>
        </w:rPr>
        <w:t>7</w:t>
      </w:r>
      <w:r>
        <w:rPr>
          <w:noProof/>
        </w:rPr>
        <w:fldChar w:fldCharType="end"/>
      </w:r>
    </w:p>
    <w:p w14:paraId="26B01AFF" w14:textId="28866803" w:rsidR="00D21FD1" w:rsidRDefault="00D21FD1">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_Toc20997611 \h </w:instrText>
      </w:r>
      <w:r>
        <w:rPr>
          <w:noProof/>
        </w:rPr>
      </w:r>
      <w:r>
        <w:rPr>
          <w:noProof/>
        </w:rPr>
        <w:fldChar w:fldCharType="separate"/>
      </w:r>
      <w:r>
        <w:rPr>
          <w:noProof/>
        </w:rPr>
        <w:t>7</w:t>
      </w:r>
      <w:r>
        <w:rPr>
          <w:noProof/>
        </w:rPr>
        <w:fldChar w:fldCharType="end"/>
      </w:r>
    </w:p>
    <w:p w14:paraId="4D0877FC" w14:textId="0D09FA02" w:rsidR="00D21FD1" w:rsidRDefault="00D21FD1">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_Toc20997612 \h </w:instrText>
      </w:r>
      <w:r>
        <w:rPr>
          <w:noProof/>
        </w:rPr>
      </w:r>
      <w:r>
        <w:rPr>
          <w:noProof/>
        </w:rPr>
        <w:fldChar w:fldCharType="separate"/>
      </w:r>
      <w:r>
        <w:rPr>
          <w:noProof/>
        </w:rPr>
        <w:t>7</w:t>
      </w:r>
      <w:r>
        <w:rPr>
          <w:noProof/>
        </w:rPr>
        <w:fldChar w:fldCharType="end"/>
      </w:r>
    </w:p>
    <w:p w14:paraId="58EFE619" w14:textId="679E300F" w:rsidR="00D21FD1" w:rsidRDefault="00D21FD1">
      <w:pPr>
        <w:pStyle w:val="TOC3"/>
        <w:rPr>
          <w:rFonts w:asciiTheme="minorHAnsi" w:hAnsiTheme="minorHAnsi"/>
          <w:noProof/>
          <w:szCs w:val="22"/>
        </w:rPr>
      </w:pPr>
      <w:r>
        <w:rPr>
          <w:noProof/>
        </w:rPr>
        <w:t>Electric Savings (kWh)</w:t>
      </w:r>
      <w:r>
        <w:rPr>
          <w:noProof/>
        </w:rPr>
        <w:tab/>
      </w:r>
      <w:r>
        <w:rPr>
          <w:noProof/>
        </w:rPr>
        <w:fldChar w:fldCharType="begin"/>
      </w:r>
      <w:r>
        <w:rPr>
          <w:noProof/>
        </w:rPr>
        <w:instrText xml:space="preserve"> PAGEREF _Toc20997613 \h </w:instrText>
      </w:r>
      <w:r>
        <w:rPr>
          <w:noProof/>
        </w:rPr>
      </w:r>
      <w:r>
        <w:rPr>
          <w:noProof/>
        </w:rPr>
        <w:fldChar w:fldCharType="separate"/>
      </w:r>
      <w:r>
        <w:rPr>
          <w:noProof/>
        </w:rPr>
        <w:t>7</w:t>
      </w:r>
      <w:r>
        <w:rPr>
          <w:noProof/>
        </w:rPr>
        <w:fldChar w:fldCharType="end"/>
      </w:r>
    </w:p>
    <w:p w14:paraId="065B27F9" w14:textId="4CFAAABE" w:rsidR="00D21FD1" w:rsidRDefault="00D21FD1">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_Toc20997614 \h </w:instrText>
      </w:r>
      <w:r>
        <w:rPr>
          <w:noProof/>
        </w:rPr>
      </w:r>
      <w:r>
        <w:rPr>
          <w:noProof/>
        </w:rPr>
        <w:fldChar w:fldCharType="separate"/>
      </w:r>
      <w:r>
        <w:rPr>
          <w:noProof/>
        </w:rPr>
        <w:t>9</w:t>
      </w:r>
      <w:r>
        <w:rPr>
          <w:noProof/>
        </w:rPr>
        <w:fldChar w:fldCharType="end"/>
      </w:r>
    </w:p>
    <w:p w14:paraId="72193B98" w14:textId="3D384E18" w:rsidR="00D21FD1" w:rsidRDefault="00D21FD1">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_Toc20997615 \h </w:instrText>
      </w:r>
      <w:r>
        <w:rPr>
          <w:noProof/>
        </w:rPr>
      </w:r>
      <w:r>
        <w:rPr>
          <w:noProof/>
        </w:rPr>
        <w:fldChar w:fldCharType="separate"/>
      </w:r>
      <w:r>
        <w:rPr>
          <w:noProof/>
        </w:rPr>
        <w:t>9</w:t>
      </w:r>
      <w:r>
        <w:rPr>
          <w:noProof/>
        </w:rPr>
        <w:fldChar w:fldCharType="end"/>
      </w:r>
    </w:p>
    <w:p w14:paraId="4D1022A4" w14:textId="7EA82867" w:rsidR="00D21FD1" w:rsidRDefault="00D21FD1">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_Toc20997616 \h </w:instrText>
      </w:r>
      <w:r>
        <w:rPr>
          <w:noProof/>
        </w:rPr>
      </w:r>
      <w:r>
        <w:rPr>
          <w:noProof/>
        </w:rPr>
        <w:fldChar w:fldCharType="separate"/>
      </w:r>
      <w:r>
        <w:rPr>
          <w:noProof/>
        </w:rPr>
        <w:t>9</w:t>
      </w:r>
      <w:r>
        <w:rPr>
          <w:noProof/>
        </w:rPr>
        <w:fldChar w:fldCharType="end"/>
      </w:r>
    </w:p>
    <w:p w14:paraId="7F0DC11F" w14:textId="254E47EC" w:rsidR="00D21FD1" w:rsidRDefault="00D21FD1">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_Toc20997617 \h </w:instrText>
      </w:r>
      <w:r>
        <w:rPr>
          <w:noProof/>
        </w:rPr>
      </w:r>
      <w:r>
        <w:rPr>
          <w:noProof/>
        </w:rPr>
        <w:fldChar w:fldCharType="separate"/>
      </w:r>
      <w:r>
        <w:rPr>
          <w:noProof/>
        </w:rPr>
        <w:t>10</w:t>
      </w:r>
      <w:r>
        <w:rPr>
          <w:noProof/>
        </w:rPr>
        <w:fldChar w:fldCharType="end"/>
      </w:r>
    </w:p>
    <w:p w14:paraId="4DB6B068" w14:textId="59D1D13E" w:rsidR="00D21FD1" w:rsidRDefault="00D21FD1">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_Toc20997618 \h </w:instrText>
      </w:r>
      <w:r>
        <w:rPr>
          <w:noProof/>
        </w:rPr>
      </w:r>
      <w:r>
        <w:rPr>
          <w:noProof/>
        </w:rPr>
        <w:fldChar w:fldCharType="separate"/>
      </w:r>
      <w:r>
        <w:rPr>
          <w:noProof/>
        </w:rPr>
        <w:t>10</w:t>
      </w:r>
      <w:r>
        <w:rPr>
          <w:noProof/>
        </w:rPr>
        <w:fldChar w:fldCharType="end"/>
      </w:r>
    </w:p>
    <w:p w14:paraId="749A6038" w14:textId="7B793AB4" w:rsidR="00D21FD1" w:rsidRDefault="00D21FD1">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_Toc20997619 \h </w:instrText>
      </w:r>
      <w:r>
        <w:rPr>
          <w:noProof/>
        </w:rPr>
      </w:r>
      <w:r>
        <w:rPr>
          <w:noProof/>
        </w:rPr>
        <w:fldChar w:fldCharType="separate"/>
      </w:r>
      <w:r>
        <w:rPr>
          <w:noProof/>
        </w:rPr>
        <w:t>10</w:t>
      </w:r>
      <w:r>
        <w:rPr>
          <w:noProof/>
        </w:rPr>
        <w:fldChar w:fldCharType="end"/>
      </w:r>
    </w:p>
    <w:p w14:paraId="616A2766" w14:textId="11DF7018" w:rsidR="00D21FD1" w:rsidRDefault="00D21FD1">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_Toc20997620 \h </w:instrText>
      </w:r>
      <w:r>
        <w:rPr>
          <w:noProof/>
        </w:rPr>
      </w:r>
      <w:r>
        <w:rPr>
          <w:noProof/>
        </w:rPr>
        <w:fldChar w:fldCharType="separate"/>
      </w:r>
      <w:r>
        <w:rPr>
          <w:noProof/>
        </w:rPr>
        <w:t>10</w:t>
      </w:r>
      <w:r>
        <w:rPr>
          <w:noProof/>
        </w:rPr>
        <w:fldChar w:fldCharType="end"/>
      </w:r>
    </w:p>
    <w:p w14:paraId="407652FD" w14:textId="58C9E1A0" w:rsidR="00D21FD1" w:rsidRDefault="00D21FD1">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_Toc20997621 \h </w:instrText>
      </w:r>
      <w:r>
        <w:rPr>
          <w:noProof/>
        </w:rPr>
      </w:r>
      <w:r>
        <w:rPr>
          <w:noProof/>
        </w:rPr>
        <w:fldChar w:fldCharType="separate"/>
      </w:r>
      <w:r>
        <w:rPr>
          <w:noProof/>
        </w:rPr>
        <w:t>10</w:t>
      </w:r>
      <w:r>
        <w:rPr>
          <w:noProof/>
        </w:rPr>
        <w:fldChar w:fldCharType="end"/>
      </w:r>
    </w:p>
    <w:p w14:paraId="165A9312" w14:textId="40A81231" w:rsidR="00D21FD1" w:rsidRDefault="00D21FD1">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_Toc20997622 \h </w:instrText>
      </w:r>
      <w:r>
        <w:rPr>
          <w:noProof/>
        </w:rPr>
      </w:r>
      <w:r>
        <w:rPr>
          <w:noProof/>
        </w:rPr>
        <w:fldChar w:fldCharType="separate"/>
      </w:r>
      <w:r>
        <w:rPr>
          <w:noProof/>
        </w:rPr>
        <w:t>11</w:t>
      </w:r>
      <w:r>
        <w:rPr>
          <w:noProof/>
        </w:rPr>
        <w:fldChar w:fldCharType="end"/>
      </w:r>
    </w:p>
    <w:p w14:paraId="2BC8E73E" w14:textId="00CF0178" w:rsidR="00D21FD1" w:rsidRDefault="00D21FD1">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_Toc20997623 \h </w:instrText>
      </w:r>
      <w:r>
        <w:rPr>
          <w:noProof/>
        </w:rPr>
      </w:r>
      <w:r>
        <w:rPr>
          <w:noProof/>
        </w:rPr>
        <w:fldChar w:fldCharType="separate"/>
      </w:r>
      <w:r>
        <w:rPr>
          <w:noProof/>
        </w:rPr>
        <w:t>11</w:t>
      </w:r>
      <w:r>
        <w:rPr>
          <w:noProof/>
        </w:rPr>
        <w:fldChar w:fldCharType="end"/>
      </w:r>
    </w:p>
    <w:p w14:paraId="555BF6DC" w14:textId="5E784798" w:rsidR="00D21FD1" w:rsidRDefault="00D21FD1">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_Toc20997624 \h </w:instrText>
      </w:r>
      <w:r>
        <w:rPr>
          <w:noProof/>
        </w:rPr>
      </w:r>
      <w:r>
        <w:rPr>
          <w:noProof/>
        </w:rPr>
        <w:fldChar w:fldCharType="separate"/>
      </w:r>
      <w:r>
        <w:rPr>
          <w:noProof/>
        </w:rPr>
        <w:t>11</w:t>
      </w:r>
      <w:r>
        <w:rPr>
          <w:noProof/>
        </w:rPr>
        <w:fldChar w:fldCharType="end"/>
      </w:r>
    </w:p>
    <w:p w14:paraId="441A3EBF" w14:textId="45DD94A6" w:rsidR="00D21FD1" w:rsidRDefault="00D21FD1">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_Toc20997625 \h </w:instrText>
      </w:r>
      <w:r>
        <w:rPr>
          <w:noProof/>
        </w:rPr>
      </w:r>
      <w:r>
        <w:rPr>
          <w:noProof/>
        </w:rPr>
        <w:fldChar w:fldCharType="separate"/>
      </w:r>
      <w:r>
        <w:rPr>
          <w:noProof/>
        </w:rPr>
        <w:t>12</w:t>
      </w:r>
      <w:r>
        <w:rPr>
          <w:noProof/>
        </w:rPr>
        <w:fldChar w:fldCharType="end"/>
      </w:r>
    </w:p>
    <w:p w14:paraId="4C194BAF" w14:textId="3267C277" w:rsidR="001C6C9B" w:rsidRPr="00D12B8C" w:rsidRDefault="001C6C9B" w:rsidP="00A03725">
      <w:pPr>
        <w:pStyle w:val="TOC3"/>
      </w:pPr>
      <w:r>
        <w:fldChar w:fldCharType="end"/>
      </w:r>
    </w:p>
    <w:p w14:paraId="7DD78D3A" w14:textId="77777777" w:rsidR="007E1F66" w:rsidRDefault="007E1F66" w:rsidP="00462BB6">
      <w:pPr>
        <w:pStyle w:val="eTRMHeading3"/>
        <w:sectPr w:rsidR="007E1F66" w:rsidSect="00181E0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p>
    <w:p w14:paraId="39F3CABB" w14:textId="77777777" w:rsidR="00871123" w:rsidRPr="007E1F66" w:rsidRDefault="00871123" w:rsidP="00462BB6">
      <w:pPr>
        <w:pStyle w:val="eTRMHeading3"/>
        <w:spacing w:before="20" w:after="20"/>
      </w:pPr>
      <w:bookmarkStart w:id="1" w:name="_Toc486490839"/>
      <w:bookmarkStart w:id="2" w:name="_Toc486580912"/>
      <w:bookmarkStart w:id="3" w:name="_Toc20997602"/>
      <w:r w:rsidRPr="007E1F66">
        <w:lastRenderedPageBreak/>
        <w:t>Measure Name</w:t>
      </w:r>
      <w:bookmarkEnd w:id="1"/>
      <w:bookmarkEnd w:id="2"/>
      <w:bookmarkEnd w:id="3"/>
    </w:p>
    <w:p w14:paraId="4EAED972" w14:textId="469065B0" w:rsidR="00871123" w:rsidRDefault="0054541A" w:rsidP="0054541A">
      <w:r>
        <w:t xml:space="preserve">Unitary Air-Cooled </w:t>
      </w:r>
      <w:r w:rsidR="009D3057">
        <w:t xml:space="preserve">Air Conditioner or </w:t>
      </w:r>
      <w:r>
        <w:t xml:space="preserve">Heat Pump, </w:t>
      </w:r>
      <w:r>
        <w:rPr>
          <w:rFonts w:cs="Calibri Light"/>
        </w:rPr>
        <w:t>≥</w:t>
      </w:r>
      <w:r>
        <w:t xml:space="preserve"> 65 kBtuh, Commercial</w:t>
      </w:r>
    </w:p>
    <w:p w14:paraId="565BCA7B" w14:textId="77777777" w:rsidR="0054541A" w:rsidRPr="00401C43" w:rsidRDefault="0054541A" w:rsidP="0054541A"/>
    <w:p w14:paraId="6406A9D4" w14:textId="77777777" w:rsidR="00871123" w:rsidRPr="00074E3E" w:rsidRDefault="00871123" w:rsidP="00462BB6">
      <w:pPr>
        <w:pStyle w:val="eTRMHeading3"/>
        <w:spacing w:before="20" w:after="20"/>
      </w:pPr>
      <w:bookmarkStart w:id="4" w:name="_Toc486490840"/>
      <w:bookmarkStart w:id="5" w:name="_Toc486580913"/>
      <w:bookmarkStart w:id="6" w:name="_Toc20997603"/>
      <w:r>
        <w:t>Statewide Measure ID</w:t>
      </w:r>
      <w:bookmarkEnd w:id="4"/>
      <w:bookmarkEnd w:id="5"/>
      <w:bookmarkEnd w:id="6"/>
    </w:p>
    <w:p w14:paraId="6EAE2100" w14:textId="13998F2F" w:rsidR="00871123" w:rsidRDefault="006251F6" w:rsidP="006251F6">
      <w:r>
        <w:t>SWHC013-01</w:t>
      </w:r>
    </w:p>
    <w:p w14:paraId="2B553EA2" w14:textId="77777777" w:rsidR="00871123" w:rsidRPr="00462BB6" w:rsidRDefault="00871123" w:rsidP="006251F6"/>
    <w:p w14:paraId="0F7CA2E6" w14:textId="77777777" w:rsidR="00E70CBD" w:rsidRPr="00154391" w:rsidRDefault="00E70CBD" w:rsidP="00462BB6">
      <w:pPr>
        <w:pStyle w:val="eTRMHeading3"/>
      </w:pPr>
      <w:bookmarkStart w:id="7" w:name="_Toc486490847"/>
      <w:bookmarkStart w:id="8" w:name="_Toc486580918"/>
      <w:bookmarkStart w:id="9" w:name="_Toc20997604"/>
      <w:r w:rsidRPr="00154391">
        <w:t>Technology Summary</w:t>
      </w:r>
      <w:bookmarkEnd w:id="7"/>
      <w:bookmarkEnd w:id="8"/>
      <w:bookmarkEnd w:id="9"/>
      <w:r w:rsidRPr="00154391">
        <w:t xml:space="preserve"> </w:t>
      </w:r>
    </w:p>
    <w:p w14:paraId="54AE1F48" w14:textId="4170B5C9" w:rsidR="007D7978" w:rsidRDefault="007D7978" w:rsidP="007D7978">
      <w:r>
        <w:t xml:space="preserve">A single-package </w:t>
      </w:r>
      <w:r w:rsidR="007B0220">
        <w:t>air conditioning</w:t>
      </w:r>
      <w:r>
        <w:t xml:space="preserve"> </w:t>
      </w:r>
      <w:r w:rsidR="006251F6">
        <w:t>(AC)</w:t>
      </w:r>
      <w:r w:rsidR="00792DA6">
        <w:t xml:space="preserve"> or heat pump (HP)</w:t>
      </w:r>
      <w:r w:rsidR="006251F6">
        <w:t xml:space="preserve"> </w:t>
      </w:r>
      <w:r>
        <w:t xml:space="preserve">unit consists of a single package (or cabinet housing) that </w:t>
      </w:r>
      <w:r w:rsidR="000B6C98">
        <w:t>includes</w:t>
      </w:r>
      <w:r>
        <w:t xml:space="preserve"> a condensing unit, a compressor, and an indoor fan/coil. </w:t>
      </w:r>
      <w:r w:rsidR="000B6C98">
        <w:t>A s</w:t>
      </w:r>
      <w:r>
        <w:t xml:space="preserve">ingle-package unit </w:t>
      </w:r>
      <w:r w:rsidR="000B6C98">
        <w:t>is</w:t>
      </w:r>
      <w:r>
        <w:t xml:space="preserve"> typically installed on the roof of </w:t>
      </w:r>
      <w:r w:rsidR="000B6C98">
        <w:t>a</w:t>
      </w:r>
      <w:r>
        <w:t xml:space="preserve"> building and will sit on a "roof-curb" or supporting beams. </w:t>
      </w:r>
      <w:r w:rsidR="006251F6">
        <w:t>A d</w:t>
      </w:r>
      <w:r>
        <w:t>own-flow unit ha</w:t>
      </w:r>
      <w:r w:rsidR="006251F6">
        <w:t>s</w:t>
      </w:r>
      <w:r>
        <w:t xml:space="preserve"> the benefit of concealed ducting, </w:t>
      </w:r>
      <w:r w:rsidR="006251F6">
        <w:t>which minimizes</w:t>
      </w:r>
      <w:r>
        <w:t xml:space="preserve"> the chances of water leaking through a roof penetration. An additional benefit of </w:t>
      </w:r>
      <w:r w:rsidR="000B6C98">
        <w:t xml:space="preserve">a </w:t>
      </w:r>
      <w:r>
        <w:t xml:space="preserve">package unit is that there is no need for field-installed refrigerant piping, </w:t>
      </w:r>
      <w:r w:rsidR="006251F6">
        <w:t>which minimizes</w:t>
      </w:r>
      <w:r>
        <w:t xml:space="preserve"> labor costs and the possibility of contaminating the system with dirt, metal, oxides or noncondensing gases.</w:t>
      </w:r>
    </w:p>
    <w:p w14:paraId="2FE9EE23" w14:textId="7500B810" w:rsidR="007D7978" w:rsidRPr="007D7978" w:rsidRDefault="007D7978" w:rsidP="007D7978">
      <w:r>
        <w:t>A split system consists of two major parts in separate housings: a remote condensing unit and an indoor fan/coil. The</w:t>
      </w:r>
      <w:r w:rsidR="00A52A36">
        <w:t>se</w:t>
      </w:r>
      <w:r>
        <w:t xml:space="preserve"> system components are connected by a set of refrigerant lines. </w:t>
      </w:r>
      <w:r w:rsidR="00A52A36">
        <w:t>The fan/coil include</w:t>
      </w:r>
      <w:r w:rsidR="009B419D">
        <w:t>s</w:t>
      </w:r>
      <w:r w:rsidR="00A52A36">
        <w:t xml:space="preserve"> a furnace section for a gas-fired</w:t>
      </w:r>
      <w:r>
        <w:t xml:space="preserve"> heating system. Typical locations for the fan/coil are the attic space, under-floor, or in a closet or mechanical room. Locating the fan/coil in a conditioned or semi-conditioned space will help the system operate more efficiently by cutting down the thermal gains and losses to the unit and ducting.</w:t>
      </w:r>
    </w:p>
    <w:p w14:paraId="0B9CC768" w14:textId="02C69403" w:rsidR="007D7978" w:rsidRPr="00DF1F9C" w:rsidRDefault="007B0220" w:rsidP="00DF1F9C">
      <w:r>
        <w:t>There are two different indicators of energy efficiency of a</w:t>
      </w:r>
      <w:r w:rsidR="007D7978">
        <w:t xml:space="preserve">ir conditioners </w:t>
      </w:r>
      <w:r>
        <w:t>with capacity &gt;</w:t>
      </w:r>
      <w:r w:rsidR="007D7978">
        <w:t xml:space="preserve"> 65 kBtuh: </w:t>
      </w:r>
      <w:r>
        <w:t>the</w:t>
      </w:r>
      <w:r w:rsidR="007D7978">
        <w:t xml:space="preserve"> </w:t>
      </w:r>
      <w:r>
        <w:t>energy efficiency ratio</w:t>
      </w:r>
      <w:r w:rsidR="007D7978">
        <w:t xml:space="preserve"> (EER) and </w:t>
      </w:r>
      <w:r>
        <w:t>the integrated energy efficiency ratio</w:t>
      </w:r>
      <w:r w:rsidR="00C60E6F">
        <w:t xml:space="preserve"> (IEER)</w:t>
      </w:r>
      <w:r>
        <w:t xml:space="preserve">. The </w:t>
      </w:r>
      <w:r w:rsidR="007D7978">
        <w:t xml:space="preserve">EER </w:t>
      </w:r>
      <w:r>
        <w:t>represents</w:t>
      </w:r>
      <w:r w:rsidR="007D7978">
        <w:t xml:space="preserve"> the energy efficiency corresponding to </w:t>
      </w:r>
      <w:r>
        <w:t>p</w:t>
      </w:r>
      <w:r w:rsidR="007D7978">
        <w:t>eak loading (kW)</w:t>
      </w:r>
      <w:r>
        <w:t xml:space="preserve"> </w:t>
      </w:r>
      <w:r w:rsidR="007D7978">
        <w:t xml:space="preserve">and </w:t>
      </w:r>
      <w:r w:rsidR="009B419D">
        <w:t xml:space="preserve">the </w:t>
      </w:r>
      <w:r w:rsidR="007D7978">
        <w:t>IEER corresponds to a weighted average of ratings at different loads</w:t>
      </w:r>
      <w:r>
        <w:t>,</w:t>
      </w:r>
      <w:r w:rsidR="007D7978">
        <w:t xml:space="preserve"> considering part</w:t>
      </w:r>
      <w:r>
        <w:t>-</w:t>
      </w:r>
      <w:r w:rsidR="007D7978">
        <w:t>load performance.</w:t>
      </w:r>
      <w:r w:rsidR="003B3C67">
        <w:t xml:space="preserve"> </w:t>
      </w:r>
      <w:r w:rsidR="00A24565">
        <w:t xml:space="preserve">The heating function of commercial heat pumps is rated </w:t>
      </w:r>
      <w:r w:rsidR="00DB0923">
        <w:t>using</w:t>
      </w:r>
      <w:r w:rsidR="00A24565">
        <w:t xml:space="preserve"> coefficient of performance (COP)</w:t>
      </w:r>
      <w:r w:rsidR="0020134A">
        <w:t xml:space="preserve">, </w:t>
      </w:r>
      <w:r w:rsidR="00537990">
        <w:t xml:space="preserve">which is tested at 47 </w:t>
      </w:r>
      <w:r w:rsidR="00537990">
        <w:rPr>
          <w:rFonts w:ascii="Calibri" w:hAnsi="Calibri" w:cs="Calibri"/>
        </w:rPr>
        <w:t>°</w:t>
      </w:r>
      <w:r w:rsidR="00537990">
        <w:t>F ambient conditions</w:t>
      </w:r>
      <w:r w:rsidR="0002284D">
        <w:t xml:space="preserve">. </w:t>
      </w:r>
    </w:p>
    <w:p w14:paraId="013B1F2E" w14:textId="7AB04381" w:rsidR="00BA492B" w:rsidRDefault="003E599B" w:rsidP="00BA492B">
      <w:r>
        <w:t xml:space="preserve">Single-package </w:t>
      </w:r>
      <w:r w:rsidR="00AB0984">
        <w:t>AC</w:t>
      </w:r>
      <w:r w:rsidR="004D450B">
        <w:t>/HPs</w:t>
      </w:r>
      <w:r>
        <w:t xml:space="preserve"> are common in the commercial sector; </w:t>
      </w:r>
      <w:r w:rsidR="00645388">
        <w:t>the ratio</w:t>
      </w:r>
      <w:r w:rsidR="00C4328C">
        <w:t xml:space="preserve"> </w:t>
      </w:r>
      <w:r w:rsidR="00645388">
        <w:t xml:space="preserve">of </w:t>
      </w:r>
      <w:r w:rsidR="00C4328C">
        <w:t>split-system versus single-package AC</w:t>
      </w:r>
      <w:r w:rsidR="004D450B">
        <w:t>/HP</w:t>
      </w:r>
      <w:r w:rsidR="00C4328C">
        <w:t xml:space="preserve"> in the commercial market sector is </w:t>
      </w:r>
      <w:r>
        <w:t>approximately 1:20.</w:t>
      </w:r>
      <w:r w:rsidR="00C4328C">
        <w:t xml:space="preserve"> </w:t>
      </w:r>
      <w:r w:rsidR="00BA492B">
        <w:t>Split-system AC</w:t>
      </w:r>
      <w:r w:rsidR="004D450B">
        <w:t>/HPs</w:t>
      </w:r>
      <w:r w:rsidR="00BA492B">
        <w:t xml:space="preserve"> are more common in the residential construction.</w:t>
      </w:r>
      <w:r w:rsidR="00BA492B" w:rsidRPr="00C4328C">
        <w:t xml:space="preserve"> </w:t>
      </w:r>
    </w:p>
    <w:p w14:paraId="3F95E8CF" w14:textId="1DF9D126" w:rsidR="00BA492B" w:rsidRDefault="003E599B" w:rsidP="00BA492B">
      <w:r>
        <w:t>Air-</w:t>
      </w:r>
      <w:r w:rsidR="004D450B">
        <w:t>source</w:t>
      </w:r>
      <w:r>
        <w:t xml:space="preserve"> single-package and split-system AC</w:t>
      </w:r>
      <w:r w:rsidR="004D450B">
        <w:t>/HP</w:t>
      </w:r>
      <w:r>
        <w:t xml:space="preserve"> units ≥ to 5.4 tons (65</w:t>
      </w:r>
      <w:r w:rsidR="00DF1F9C">
        <w:t xml:space="preserve"> k</w:t>
      </w:r>
      <w:r>
        <w:t>Btuh) and &lt; 11.3 tons (135</w:t>
      </w:r>
      <w:r w:rsidR="00DF1F9C">
        <w:t xml:space="preserve"> kB</w:t>
      </w:r>
      <w:r>
        <w:t xml:space="preserve">tuh) are installed in a variety of building types: convenience markets, fast-food stores, office complexes, and strip malls. </w:t>
      </w:r>
      <w:r w:rsidR="00BA492B">
        <w:t>Air-</w:t>
      </w:r>
      <w:r w:rsidR="0002385E">
        <w:t xml:space="preserve">source </w:t>
      </w:r>
      <w:r w:rsidR="00BA492B">
        <w:t>single-package and split-system AC</w:t>
      </w:r>
      <w:r w:rsidR="0002385E">
        <w:t>/HP</w:t>
      </w:r>
      <w:r w:rsidR="00BA492B">
        <w:t xml:space="preserve"> units ≥ 11.3 tons are commonly used to condition larger commercial open spaces as would be found in large chain outlet stores. </w:t>
      </w:r>
    </w:p>
    <w:p w14:paraId="6D86EB5A" w14:textId="5D370919" w:rsidR="00C4328C" w:rsidRDefault="00C4328C" w:rsidP="00C4328C">
      <w:r>
        <w:t xml:space="preserve">Manufacturers continue to design new equipment to achieve increasingly higher </w:t>
      </w:r>
      <w:r w:rsidR="00555776">
        <w:t>part-</w:t>
      </w:r>
      <w:r>
        <w:t xml:space="preserve">load efficiency (IEER). </w:t>
      </w:r>
      <w:r w:rsidR="00792677">
        <w:t xml:space="preserve">Building owners, engineers, </w:t>
      </w:r>
      <w:r w:rsidR="00D556F2">
        <w:t xml:space="preserve">and regulatory bodies such as the U.S. Department of Energy </w:t>
      </w:r>
      <w:r w:rsidR="00CE0E0D">
        <w:t>have added to this momentum</w:t>
      </w:r>
      <w:r w:rsidR="00693660">
        <w:t>. Building certification programs such as LEED reward annual energy savings, which is enhanced by part-load equipment efficiency.</w:t>
      </w:r>
      <w:r w:rsidR="001B060E">
        <w:t xml:space="preserve"> In 2012, DOE </w:t>
      </w:r>
      <w:r w:rsidR="00E1255C">
        <w:t>issued</w:t>
      </w:r>
      <w:r w:rsidR="00C81F54">
        <w:t xml:space="preserve"> the “RTU Challenge” which encouraged manufacturers to produce 18 IEER equipment. In 2016, DOE finalized a regulation that would shift </w:t>
      </w:r>
      <w:r w:rsidR="008B34A5">
        <w:t xml:space="preserve">unitary AC/HP ratings from EER to IEER on </w:t>
      </w:r>
      <w:r w:rsidR="00E1255C">
        <w:t xml:space="preserve">January 1, </w:t>
      </w:r>
      <w:r w:rsidR="008B34A5">
        <w:t xml:space="preserve">2018. These activities underscore the increasing emphasis on part-load </w:t>
      </w:r>
      <w:r w:rsidR="00B1247E">
        <w:t xml:space="preserve">efficiency </w:t>
      </w:r>
      <w:r w:rsidR="008B34A5">
        <w:t xml:space="preserve">by industry and </w:t>
      </w:r>
      <w:r w:rsidR="00B1247E">
        <w:t>regulators</w:t>
      </w:r>
      <w:r w:rsidR="008B34A5">
        <w:t xml:space="preserve">. </w:t>
      </w:r>
    </w:p>
    <w:p w14:paraId="3EC926E8" w14:textId="77777777" w:rsidR="003E599B" w:rsidRPr="00AB6C99" w:rsidRDefault="003E599B" w:rsidP="00AB6C99"/>
    <w:p w14:paraId="5AF18021" w14:textId="77777777" w:rsidR="007D230B" w:rsidRPr="004B06E3" w:rsidRDefault="007D230B" w:rsidP="00462BB6">
      <w:pPr>
        <w:pStyle w:val="eTRMHeading3"/>
      </w:pPr>
      <w:bookmarkStart w:id="10" w:name="_Toc486490848"/>
      <w:bookmarkStart w:id="11" w:name="_Toc486580919"/>
      <w:bookmarkStart w:id="12" w:name="_Toc20997605"/>
      <w:r w:rsidRPr="004B06E3">
        <w:lastRenderedPageBreak/>
        <w:t>Measure Case Description</w:t>
      </w:r>
      <w:bookmarkEnd w:id="10"/>
      <w:bookmarkEnd w:id="11"/>
      <w:bookmarkEnd w:id="12"/>
    </w:p>
    <w:p w14:paraId="0D84E92D" w14:textId="4964920C" w:rsidR="005A2CFE" w:rsidRDefault="005A2CFE" w:rsidP="00C60E6F">
      <w:pPr>
        <w:spacing w:after="0"/>
      </w:pPr>
      <w:bookmarkStart w:id="13" w:name="_Ref492884741"/>
      <w:r>
        <w:t xml:space="preserve">The measure case is defined as an air-cooled air conditioner or heat pump with a cooling capacity </w:t>
      </w:r>
      <w:r w:rsidR="00BF1399">
        <w:rPr>
          <w:rFonts w:cs="Calibri Light"/>
        </w:rPr>
        <w:t>≥</w:t>
      </w:r>
      <w:r>
        <w:t xml:space="preserve"> 65 kBtuh, installed in a nonresidential building. The minimum efficiency requirements of measure offerings are specified </w:t>
      </w:r>
      <w:r w:rsidR="00C16C6F">
        <w:t>below</w:t>
      </w:r>
      <w:r w:rsidR="00B372DE">
        <w:t>.</w:t>
      </w:r>
    </w:p>
    <w:bookmarkEnd w:id="13"/>
    <w:p w14:paraId="60BDE8DF" w14:textId="200621C2" w:rsidR="007F2B71" w:rsidRDefault="00FB395B" w:rsidP="001C4E05">
      <w:pPr>
        <w:pStyle w:val="Caption"/>
      </w:pPr>
      <w:r>
        <w:t xml:space="preserve">Air Conditioning </w:t>
      </w:r>
      <w:r w:rsidR="007F2B71" w:rsidRPr="001C4CB0">
        <w:t>Measure Case Specification</w:t>
      </w:r>
    </w:p>
    <w:tbl>
      <w:tblPr>
        <w:tblW w:w="52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40"/>
        <w:gridCol w:w="1160"/>
        <w:gridCol w:w="1240"/>
      </w:tblGrid>
      <w:tr w:rsidR="00BF1399" w:rsidRPr="00BF1399" w14:paraId="3DE44E5E" w14:textId="77777777" w:rsidTr="00C4328C">
        <w:trPr>
          <w:trHeight w:val="290"/>
          <w:tblHeader/>
        </w:trPr>
        <w:tc>
          <w:tcPr>
            <w:tcW w:w="2840" w:type="dxa"/>
            <w:shd w:val="clear" w:color="auto" w:fill="F2F2F2" w:themeFill="background1" w:themeFillShade="F2"/>
            <w:vAlign w:val="bottom"/>
            <w:hideMark/>
          </w:tcPr>
          <w:p w14:paraId="5DACAE6A" w14:textId="35227DBD" w:rsidR="00E66A90" w:rsidRPr="00E66A90" w:rsidRDefault="00E66A90" w:rsidP="00C4328C">
            <w:pPr>
              <w:spacing w:before="0" w:after="0" w:line="240" w:lineRule="auto"/>
              <w:jc w:val="center"/>
              <w:rPr>
                <w:rFonts w:eastAsia="Times New Roman" w:cs="Calibri Light"/>
                <w:b/>
                <w:bCs/>
                <w:sz w:val="20"/>
                <w:szCs w:val="20"/>
              </w:rPr>
            </w:pPr>
            <w:r w:rsidRPr="00E66A90">
              <w:rPr>
                <w:rFonts w:eastAsia="Times New Roman" w:cs="Calibri Light"/>
                <w:b/>
                <w:bCs/>
                <w:sz w:val="20"/>
                <w:szCs w:val="20"/>
              </w:rPr>
              <w:t>Capacity Range</w:t>
            </w:r>
            <w:r w:rsidR="00BF1399">
              <w:rPr>
                <w:rFonts w:eastAsia="Times New Roman" w:cs="Calibri Light"/>
                <w:b/>
                <w:bCs/>
                <w:sz w:val="20"/>
                <w:szCs w:val="20"/>
              </w:rPr>
              <w:t xml:space="preserve"> (kBtuh)</w:t>
            </w:r>
          </w:p>
        </w:tc>
        <w:tc>
          <w:tcPr>
            <w:tcW w:w="1160" w:type="dxa"/>
            <w:shd w:val="clear" w:color="auto" w:fill="F2F2F2" w:themeFill="background1" w:themeFillShade="F2"/>
            <w:vAlign w:val="bottom"/>
            <w:hideMark/>
          </w:tcPr>
          <w:p w14:paraId="44ABFE43" w14:textId="77777777" w:rsidR="00E66A90" w:rsidRPr="00E66A90" w:rsidRDefault="00E66A90" w:rsidP="00C4328C">
            <w:pPr>
              <w:spacing w:before="0" w:after="0" w:line="240" w:lineRule="auto"/>
              <w:jc w:val="center"/>
              <w:rPr>
                <w:rFonts w:eastAsia="Times New Roman" w:cs="Calibri Light"/>
                <w:b/>
                <w:bCs/>
                <w:sz w:val="20"/>
                <w:szCs w:val="20"/>
              </w:rPr>
            </w:pPr>
            <w:r w:rsidRPr="00E66A90">
              <w:rPr>
                <w:rFonts w:eastAsia="Times New Roman" w:cs="Calibri Light"/>
                <w:b/>
                <w:bCs/>
                <w:sz w:val="20"/>
                <w:szCs w:val="20"/>
              </w:rPr>
              <w:t>EER</w:t>
            </w:r>
          </w:p>
        </w:tc>
        <w:tc>
          <w:tcPr>
            <w:tcW w:w="1240" w:type="dxa"/>
            <w:shd w:val="clear" w:color="auto" w:fill="F2F2F2" w:themeFill="background1" w:themeFillShade="F2"/>
            <w:vAlign w:val="bottom"/>
            <w:hideMark/>
          </w:tcPr>
          <w:p w14:paraId="15461D72" w14:textId="77777777" w:rsidR="00E66A90" w:rsidRPr="00E66A90" w:rsidRDefault="00E66A90" w:rsidP="00C4328C">
            <w:pPr>
              <w:spacing w:before="0" w:after="0" w:line="240" w:lineRule="auto"/>
              <w:jc w:val="center"/>
              <w:rPr>
                <w:rFonts w:eastAsia="Times New Roman" w:cs="Calibri Light"/>
                <w:b/>
                <w:bCs/>
                <w:sz w:val="20"/>
                <w:szCs w:val="20"/>
              </w:rPr>
            </w:pPr>
            <w:r w:rsidRPr="00E66A90">
              <w:rPr>
                <w:rFonts w:eastAsia="Times New Roman" w:cs="Calibri Light"/>
                <w:b/>
                <w:bCs/>
                <w:sz w:val="20"/>
                <w:szCs w:val="20"/>
              </w:rPr>
              <w:t>IEER</w:t>
            </w:r>
          </w:p>
        </w:tc>
      </w:tr>
      <w:tr w:rsidR="00C4328C" w:rsidRPr="00BF1399" w14:paraId="5BAC1B3C" w14:textId="77777777" w:rsidTr="00B378DE">
        <w:trPr>
          <w:trHeight w:val="290"/>
        </w:trPr>
        <w:tc>
          <w:tcPr>
            <w:tcW w:w="2840" w:type="dxa"/>
            <w:vMerge w:val="restart"/>
            <w:shd w:val="clear" w:color="auto" w:fill="auto"/>
            <w:noWrap/>
            <w:vAlign w:val="center"/>
            <w:hideMark/>
          </w:tcPr>
          <w:p w14:paraId="7A9F4F93" w14:textId="08A931F5" w:rsidR="00C4328C" w:rsidRPr="00E66A90" w:rsidRDefault="00C4328C" w:rsidP="00C4328C">
            <w:pPr>
              <w:spacing w:before="0" w:after="0" w:line="240" w:lineRule="auto"/>
              <w:rPr>
                <w:rFonts w:eastAsia="Times New Roman" w:cs="Calibri Light"/>
                <w:iCs/>
                <w:sz w:val="20"/>
                <w:szCs w:val="20"/>
              </w:rPr>
            </w:pPr>
            <w:r w:rsidRPr="00E66A90">
              <w:rPr>
                <w:rFonts w:eastAsia="Times New Roman" w:cs="Calibri Light"/>
                <w:iCs/>
                <w:sz w:val="20"/>
                <w:szCs w:val="20"/>
              </w:rPr>
              <w:t>65 - 134 kBTUh</w:t>
            </w:r>
          </w:p>
        </w:tc>
        <w:tc>
          <w:tcPr>
            <w:tcW w:w="1160" w:type="dxa"/>
            <w:shd w:val="clear" w:color="auto" w:fill="auto"/>
            <w:noWrap/>
            <w:vAlign w:val="center"/>
            <w:hideMark/>
          </w:tcPr>
          <w:p w14:paraId="4CBCBC07"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11.5</w:t>
            </w:r>
          </w:p>
        </w:tc>
        <w:tc>
          <w:tcPr>
            <w:tcW w:w="1240" w:type="dxa"/>
            <w:shd w:val="clear" w:color="auto" w:fill="auto"/>
            <w:noWrap/>
            <w:vAlign w:val="center"/>
            <w:hideMark/>
          </w:tcPr>
          <w:p w14:paraId="7F863BAB"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13.0</w:t>
            </w:r>
          </w:p>
        </w:tc>
      </w:tr>
      <w:tr w:rsidR="00C4328C" w:rsidRPr="00BF1399" w14:paraId="325B5A47" w14:textId="77777777" w:rsidTr="00B378DE">
        <w:trPr>
          <w:trHeight w:val="290"/>
        </w:trPr>
        <w:tc>
          <w:tcPr>
            <w:tcW w:w="2840" w:type="dxa"/>
            <w:vMerge/>
            <w:shd w:val="clear" w:color="auto" w:fill="auto"/>
            <w:noWrap/>
            <w:vAlign w:val="center"/>
          </w:tcPr>
          <w:p w14:paraId="749DC069" w14:textId="5DEE3EE5" w:rsidR="00C4328C" w:rsidRPr="00E66A90" w:rsidRDefault="00C4328C" w:rsidP="00C4328C">
            <w:pPr>
              <w:spacing w:before="0" w:after="0" w:line="240" w:lineRule="auto"/>
              <w:rPr>
                <w:rFonts w:eastAsia="Times New Roman" w:cs="Calibri Light"/>
                <w:iCs/>
                <w:sz w:val="20"/>
                <w:szCs w:val="20"/>
              </w:rPr>
            </w:pPr>
          </w:p>
        </w:tc>
        <w:tc>
          <w:tcPr>
            <w:tcW w:w="1160" w:type="dxa"/>
            <w:shd w:val="clear" w:color="auto" w:fill="auto"/>
            <w:noWrap/>
            <w:vAlign w:val="center"/>
            <w:hideMark/>
          </w:tcPr>
          <w:p w14:paraId="62EB6066"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12.0</w:t>
            </w:r>
          </w:p>
        </w:tc>
        <w:tc>
          <w:tcPr>
            <w:tcW w:w="1240" w:type="dxa"/>
            <w:shd w:val="clear" w:color="auto" w:fill="auto"/>
            <w:noWrap/>
            <w:vAlign w:val="center"/>
            <w:hideMark/>
          </w:tcPr>
          <w:p w14:paraId="7ADE0464"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13.5</w:t>
            </w:r>
          </w:p>
        </w:tc>
      </w:tr>
      <w:tr w:rsidR="00C4328C" w:rsidRPr="00BF1399" w14:paraId="72466948" w14:textId="77777777" w:rsidTr="00B378DE">
        <w:trPr>
          <w:trHeight w:val="290"/>
        </w:trPr>
        <w:tc>
          <w:tcPr>
            <w:tcW w:w="2840" w:type="dxa"/>
            <w:vMerge/>
            <w:shd w:val="clear" w:color="auto" w:fill="auto"/>
            <w:noWrap/>
            <w:vAlign w:val="center"/>
          </w:tcPr>
          <w:p w14:paraId="75A329A3" w14:textId="17EFCE8E" w:rsidR="00C4328C" w:rsidRPr="00E66A90" w:rsidRDefault="00C4328C" w:rsidP="00C4328C">
            <w:pPr>
              <w:spacing w:before="0" w:after="0" w:line="240" w:lineRule="auto"/>
              <w:rPr>
                <w:rFonts w:eastAsia="Times New Roman" w:cs="Calibri Light"/>
                <w:iCs/>
                <w:sz w:val="20"/>
                <w:szCs w:val="20"/>
              </w:rPr>
            </w:pPr>
          </w:p>
        </w:tc>
        <w:tc>
          <w:tcPr>
            <w:tcW w:w="1160" w:type="dxa"/>
            <w:shd w:val="clear" w:color="auto" w:fill="auto"/>
            <w:noWrap/>
            <w:vAlign w:val="center"/>
            <w:hideMark/>
          </w:tcPr>
          <w:p w14:paraId="0F8135DF"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12.5</w:t>
            </w:r>
          </w:p>
        </w:tc>
        <w:tc>
          <w:tcPr>
            <w:tcW w:w="1240" w:type="dxa"/>
            <w:shd w:val="clear" w:color="auto" w:fill="auto"/>
            <w:noWrap/>
            <w:vAlign w:val="center"/>
            <w:hideMark/>
          </w:tcPr>
          <w:p w14:paraId="6AFC75F7"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14.0</w:t>
            </w:r>
          </w:p>
        </w:tc>
      </w:tr>
      <w:tr w:rsidR="00C4328C" w:rsidRPr="00BF1399" w14:paraId="2FCB99F5" w14:textId="77777777" w:rsidTr="00B378DE">
        <w:trPr>
          <w:trHeight w:val="290"/>
        </w:trPr>
        <w:tc>
          <w:tcPr>
            <w:tcW w:w="2840" w:type="dxa"/>
            <w:vMerge/>
            <w:shd w:val="clear" w:color="auto" w:fill="auto"/>
            <w:noWrap/>
            <w:vAlign w:val="center"/>
          </w:tcPr>
          <w:p w14:paraId="1241E65F" w14:textId="65D3DE9F" w:rsidR="00C4328C" w:rsidRPr="00E66A90" w:rsidRDefault="00C4328C" w:rsidP="00C4328C">
            <w:pPr>
              <w:spacing w:before="0" w:after="0" w:line="240" w:lineRule="auto"/>
              <w:rPr>
                <w:rFonts w:eastAsia="Times New Roman" w:cs="Calibri Light"/>
                <w:iCs/>
                <w:sz w:val="20"/>
                <w:szCs w:val="20"/>
              </w:rPr>
            </w:pPr>
          </w:p>
        </w:tc>
        <w:tc>
          <w:tcPr>
            <w:tcW w:w="1160" w:type="dxa"/>
            <w:shd w:val="clear" w:color="auto" w:fill="auto"/>
            <w:noWrap/>
            <w:vAlign w:val="center"/>
            <w:hideMark/>
          </w:tcPr>
          <w:p w14:paraId="052F7DB1"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13.0</w:t>
            </w:r>
          </w:p>
        </w:tc>
        <w:tc>
          <w:tcPr>
            <w:tcW w:w="1240" w:type="dxa"/>
            <w:shd w:val="clear" w:color="auto" w:fill="auto"/>
            <w:noWrap/>
            <w:vAlign w:val="center"/>
            <w:hideMark/>
          </w:tcPr>
          <w:p w14:paraId="09F5A51A"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15.0</w:t>
            </w:r>
          </w:p>
        </w:tc>
      </w:tr>
      <w:tr w:rsidR="00C4328C" w:rsidRPr="00BF1399" w14:paraId="67F1E555" w14:textId="77777777" w:rsidTr="00B378DE">
        <w:trPr>
          <w:trHeight w:val="285"/>
        </w:trPr>
        <w:tc>
          <w:tcPr>
            <w:tcW w:w="2840" w:type="dxa"/>
            <w:vMerge w:val="restart"/>
            <w:shd w:val="clear" w:color="auto" w:fill="auto"/>
            <w:noWrap/>
            <w:vAlign w:val="center"/>
            <w:hideMark/>
          </w:tcPr>
          <w:p w14:paraId="30DE18BB" w14:textId="0C106D14" w:rsidR="00C4328C" w:rsidRPr="00E66A90" w:rsidRDefault="00C4328C" w:rsidP="00C4328C">
            <w:pPr>
              <w:spacing w:before="0" w:after="0" w:line="240" w:lineRule="auto"/>
              <w:rPr>
                <w:rFonts w:eastAsia="Times New Roman" w:cs="Calibri Light"/>
                <w:iCs/>
                <w:sz w:val="20"/>
                <w:szCs w:val="20"/>
              </w:rPr>
            </w:pPr>
            <w:r w:rsidRPr="00E66A90">
              <w:rPr>
                <w:rFonts w:eastAsia="Times New Roman" w:cs="Calibri Light"/>
                <w:iCs/>
                <w:sz w:val="20"/>
                <w:szCs w:val="20"/>
              </w:rPr>
              <w:t>135 - 240 kBTUh</w:t>
            </w:r>
          </w:p>
        </w:tc>
        <w:tc>
          <w:tcPr>
            <w:tcW w:w="1160" w:type="dxa"/>
            <w:shd w:val="clear" w:color="auto" w:fill="auto"/>
            <w:noWrap/>
            <w:vAlign w:val="center"/>
            <w:hideMark/>
          </w:tcPr>
          <w:p w14:paraId="536797C6"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11.5</w:t>
            </w:r>
          </w:p>
        </w:tc>
        <w:tc>
          <w:tcPr>
            <w:tcW w:w="1240" w:type="dxa"/>
            <w:shd w:val="clear" w:color="auto" w:fill="auto"/>
            <w:noWrap/>
            <w:vAlign w:val="center"/>
            <w:hideMark/>
          </w:tcPr>
          <w:p w14:paraId="4836589A"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13.0</w:t>
            </w:r>
          </w:p>
        </w:tc>
      </w:tr>
      <w:tr w:rsidR="00C4328C" w:rsidRPr="00BF1399" w14:paraId="1E1FBA95" w14:textId="77777777" w:rsidTr="00B378DE">
        <w:trPr>
          <w:trHeight w:val="290"/>
        </w:trPr>
        <w:tc>
          <w:tcPr>
            <w:tcW w:w="2840" w:type="dxa"/>
            <w:vMerge/>
            <w:shd w:val="clear" w:color="auto" w:fill="auto"/>
            <w:noWrap/>
            <w:vAlign w:val="center"/>
          </w:tcPr>
          <w:p w14:paraId="45F7E278" w14:textId="6D3560A5" w:rsidR="00C4328C" w:rsidRPr="00E66A90" w:rsidRDefault="00C4328C" w:rsidP="00C4328C">
            <w:pPr>
              <w:spacing w:before="0" w:after="0" w:line="240" w:lineRule="auto"/>
              <w:rPr>
                <w:rFonts w:eastAsia="Times New Roman" w:cs="Calibri Light"/>
                <w:iCs/>
                <w:sz w:val="20"/>
                <w:szCs w:val="20"/>
              </w:rPr>
            </w:pPr>
          </w:p>
        </w:tc>
        <w:tc>
          <w:tcPr>
            <w:tcW w:w="1160" w:type="dxa"/>
            <w:shd w:val="clear" w:color="auto" w:fill="auto"/>
            <w:noWrap/>
            <w:vAlign w:val="center"/>
            <w:hideMark/>
          </w:tcPr>
          <w:p w14:paraId="51B7E158"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12.0</w:t>
            </w:r>
          </w:p>
        </w:tc>
        <w:tc>
          <w:tcPr>
            <w:tcW w:w="1240" w:type="dxa"/>
            <w:shd w:val="clear" w:color="auto" w:fill="auto"/>
            <w:noWrap/>
            <w:vAlign w:val="center"/>
            <w:hideMark/>
          </w:tcPr>
          <w:p w14:paraId="164CDF50"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13.5</w:t>
            </w:r>
          </w:p>
        </w:tc>
      </w:tr>
      <w:tr w:rsidR="00C4328C" w:rsidRPr="00BF1399" w14:paraId="0EC17D0D" w14:textId="77777777" w:rsidTr="00B378DE">
        <w:trPr>
          <w:trHeight w:val="290"/>
        </w:trPr>
        <w:tc>
          <w:tcPr>
            <w:tcW w:w="2840" w:type="dxa"/>
            <w:vMerge/>
            <w:shd w:val="clear" w:color="auto" w:fill="auto"/>
            <w:noWrap/>
            <w:vAlign w:val="center"/>
          </w:tcPr>
          <w:p w14:paraId="4245BAA6" w14:textId="33C9859D" w:rsidR="00C4328C" w:rsidRPr="00E66A90" w:rsidRDefault="00C4328C" w:rsidP="00C4328C">
            <w:pPr>
              <w:spacing w:before="0" w:after="0" w:line="240" w:lineRule="auto"/>
              <w:rPr>
                <w:rFonts w:eastAsia="Times New Roman" w:cs="Calibri Light"/>
                <w:iCs/>
                <w:sz w:val="20"/>
                <w:szCs w:val="20"/>
              </w:rPr>
            </w:pPr>
          </w:p>
        </w:tc>
        <w:tc>
          <w:tcPr>
            <w:tcW w:w="1160" w:type="dxa"/>
            <w:shd w:val="clear" w:color="auto" w:fill="auto"/>
            <w:noWrap/>
            <w:vAlign w:val="center"/>
            <w:hideMark/>
          </w:tcPr>
          <w:p w14:paraId="081647F4"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12.5</w:t>
            </w:r>
          </w:p>
        </w:tc>
        <w:tc>
          <w:tcPr>
            <w:tcW w:w="1240" w:type="dxa"/>
            <w:shd w:val="clear" w:color="auto" w:fill="auto"/>
            <w:noWrap/>
            <w:vAlign w:val="center"/>
            <w:hideMark/>
          </w:tcPr>
          <w:p w14:paraId="59D3005B"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14.0</w:t>
            </w:r>
          </w:p>
        </w:tc>
      </w:tr>
      <w:tr w:rsidR="00C4328C" w:rsidRPr="00BF1399" w14:paraId="328D7F36" w14:textId="77777777" w:rsidTr="00B378DE">
        <w:trPr>
          <w:trHeight w:val="290"/>
        </w:trPr>
        <w:tc>
          <w:tcPr>
            <w:tcW w:w="2840" w:type="dxa"/>
            <w:vMerge w:val="restart"/>
            <w:shd w:val="clear" w:color="auto" w:fill="auto"/>
            <w:noWrap/>
            <w:vAlign w:val="center"/>
            <w:hideMark/>
          </w:tcPr>
          <w:p w14:paraId="2FE714F8" w14:textId="5517B29F" w:rsidR="00C4328C" w:rsidRPr="00E66A90" w:rsidRDefault="00C4328C" w:rsidP="00C4328C">
            <w:pPr>
              <w:spacing w:before="0" w:after="0" w:line="240" w:lineRule="auto"/>
              <w:rPr>
                <w:rFonts w:eastAsia="Times New Roman" w:cs="Calibri Light"/>
                <w:iCs/>
                <w:sz w:val="20"/>
                <w:szCs w:val="20"/>
              </w:rPr>
            </w:pPr>
            <w:r w:rsidRPr="00E66A90">
              <w:rPr>
                <w:rFonts w:eastAsia="Times New Roman" w:cs="Calibri Light"/>
                <w:iCs/>
                <w:sz w:val="20"/>
                <w:szCs w:val="20"/>
              </w:rPr>
              <w:t>240 - 760 kBTUh</w:t>
            </w:r>
          </w:p>
        </w:tc>
        <w:tc>
          <w:tcPr>
            <w:tcW w:w="1160" w:type="dxa"/>
            <w:shd w:val="clear" w:color="auto" w:fill="auto"/>
            <w:noWrap/>
            <w:vAlign w:val="center"/>
            <w:hideMark/>
          </w:tcPr>
          <w:p w14:paraId="4F1C3F3E"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10.8</w:t>
            </w:r>
          </w:p>
        </w:tc>
        <w:tc>
          <w:tcPr>
            <w:tcW w:w="1240" w:type="dxa"/>
            <w:shd w:val="clear" w:color="auto" w:fill="auto"/>
            <w:noWrap/>
            <w:vAlign w:val="center"/>
            <w:hideMark/>
          </w:tcPr>
          <w:p w14:paraId="09B2FC80"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12.2</w:t>
            </w:r>
          </w:p>
        </w:tc>
      </w:tr>
      <w:tr w:rsidR="00C4328C" w:rsidRPr="00BF1399" w14:paraId="6DCF0C9D" w14:textId="77777777" w:rsidTr="00B378DE">
        <w:trPr>
          <w:trHeight w:val="290"/>
        </w:trPr>
        <w:tc>
          <w:tcPr>
            <w:tcW w:w="2840" w:type="dxa"/>
            <w:vMerge/>
            <w:shd w:val="clear" w:color="auto" w:fill="auto"/>
            <w:noWrap/>
            <w:vAlign w:val="center"/>
          </w:tcPr>
          <w:p w14:paraId="795603BE" w14:textId="092C6EC2" w:rsidR="00C4328C" w:rsidRPr="00E66A90" w:rsidRDefault="00C4328C" w:rsidP="00C4328C">
            <w:pPr>
              <w:spacing w:before="0" w:after="0" w:line="240" w:lineRule="auto"/>
              <w:rPr>
                <w:rFonts w:eastAsia="Times New Roman" w:cs="Calibri Light"/>
                <w:iCs/>
                <w:sz w:val="20"/>
                <w:szCs w:val="20"/>
              </w:rPr>
            </w:pPr>
          </w:p>
        </w:tc>
        <w:tc>
          <w:tcPr>
            <w:tcW w:w="1160" w:type="dxa"/>
            <w:shd w:val="clear" w:color="auto" w:fill="auto"/>
            <w:noWrap/>
            <w:vAlign w:val="center"/>
            <w:hideMark/>
          </w:tcPr>
          <w:p w14:paraId="73DA9B03"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11.5</w:t>
            </w:r>
          </w:p>
        </w:tc>
        <w:tc>
          <w:tcPr>
            <w:tcW w:w="1240" w:type="dxa"/>
            <w:shd w:val="clear" w:color="auto" w:fill="auto"/>
            <w:noWrap/>
            <w:vAlign w:val="center"/>
            <w:hideMark/>
          </w:tcPr>
          <w:p w14:paraId="2479C032"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12.7</w:t>
            </w:r>
          </w:p>
        </w:tc>
      </w:tr>
      <w:tr w:rsidR="00C4328C" w:rsidRPr="00BF1399" w14:paraId="1EBC4236" w14:textId="77777777" w:rsidTr="00B378DE">
        <w:trPr>
          <w:trHeight w:val="290"/>
        </w:trPr>
        <w:tc>
          <w:tcPr>
            <w:tcW w:w="2840" w:type="dxa"/>
            <w:vMerge/>
            <w:shd w:val="clear" w:color="auto" w:fill="auto"/>
            <w:noWrap/>
            <w:vAlign w:val="center"/>
          </w:tcPr>
          <w:p w14:paraId="3B23C3B1" w14:textId="08A1B8A9" w:rsidR="00C4328C" w:rsidRPr="00E66A90" w:rsidRDefault="00C4328C" w:rsidP="00C4328C">
            <w:pPr>
              <w:spacing w:before="0" w:after="0" w:line="240" w:lineRule="auto"/>
              <w:rPr>
                <w:rFonts w:eastAsia="Times New Roman" w:cs="Calibri Light"/>
                <w:iCs/>
                <w:sz w:val="20"/>
                <w:szCs w:val="20"/>
              </w:rPr>
            </w:pPr>
          </w:p>
        </w:tc>
        <w:tc>
          <w:tcPr>
            <w:tcW w:w="1160" w:type="dxa"/>
            <w:shd w:val="clear" w:color="auto" w:fill="auto"/>
            <w:noWrap/>
            <w:vAlign w:val="center"/>
            <w:hideMark/>
          </w:tcPr>
          <w:p w14:paraId="6617436D"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12.5</w:t>
            </w:r>
          </w:p>
        </w:tc>
        <w:tc>
          <w:tcPr>
            <w:tcW w:w="1240" w:type="dxa"/>
            <w:shd w:val="clear" w:color="auto" w:fill="auto"/>
            <w:noWrap/>
            <w:vAlign w:val="center"/>
            <w:hideMark/>
          </w:tcPr>
          <w:p w14:paraId="25829C8B"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15.5</w:t>
            </w:r>
          </w:p>
        </w:tc>
      </w:tr>
      <w:tr w:rsidR="00C4328C" w:rsidRPr="00BF1399" w14:paraId="2FE3C418" w14:textId="77777777" w:rsidTr="00B378DE">
        <w:trPr>
          <w:trHeight w:val="290"/>
        </w:trPr>
        <w:tc>
          <w:tcPr>
            <w:tcW w:w="2840" w:type="dxa"/>
            <w:vMerge w:val="restart"/>
            <w:shd w:val="clear" w:color="auto" w:fill="auto"/>
            <w:noWrap/>
            <w:vAlign w:val="center"/>
            <w:hideMark/>
          </w:tcPr>
          <w:p w14:paraId="3744D08F" w14:textId="3F35D701" w:rsidR="00C4328C" w:rsidRPr="00E66A90" w:rsidRDefault="00C4328C" w:rsidP="00C4328C">
            <w:pPr>
              <w:spacing w:before="0" w:after="0" w:line="240" w:lineRule="auto"/>
              <w:rPr>
                <w:rFonts w:eastAsia="Times New Roman" w:cs="Calibri Light"/>
                <w:iCs/>
                <w:sz w:val="20"/>
                <w:szCs w:val="20"/>
              </w:rPr>
            </w:pPr>
            <w:r w:rsidRPr="00E66A90">
              <w:rPr>
                <w:rFonts w:eastAsia="Times New Roman" w:cs="Calibri Light"/>
                <w:iCs/>
                <w:sz w:val="20"/>
                <w:szCs w:val="20"/>
              </w:rPr>
              <w:t>&gt; 760 kBTUh</w:t>
            </w:r>
          </w:p>
        </w:tc>
        <w:tc>
          <w:tcPr>
            <w:tcW w:w="1160" w:type="dxa"/>
            <w:shd w:val="clear" w:color="auto" w:fill="auto"/>
            <w:noWrap/>
            <w:vAlign w:val="center"/>
            <w:hideMark/>
          </w:tcPr>
          <w:p w14:paraId="6601C79A"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10.2</w:t>
            </w:r>
          </w:p>
        </w:tc>
        <w:tc>
          <w:tcPr>
            <w:tcW w:w="1240" w:type="dxa"/>
            <w:shd w:val="clear" w:color="auto" w:fill="auto"/>
            <w:noWrap/>
            <w:vAlign w:val="center"/>
            <w:hideMark/>
          </w:tcPr>
          <w:p w14:paraId="6D534DFD"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11.6</w:t>
            </w:r>
          </w:p>
        </w:tc>
      </w:tr>
      <w:tr w:rsidR="00C4328C" w:rsidRPr="00BF1399" w14:paraId="5F1169D0" w14:textId="77777777" w:rsidTr="00B378DE">
        <w:trPr>
          <w:trHeight w:val="290"/>
        </w:trPr>
        <w:tc>
          <w:tcPr>
            <w:tcW w:w="2840" w:type="dxa"/>
            <w:vMerge/>
            <w:shd w:val="clear" w:color="auto" w:fill="auto"/>
            <w:noWrap/>
            <w:vAlign w:val="bottom"/>
          </w:tcPr>
          <w:p w14:paraId="4FE696D2" w14:textId="0F861044" w:rsidR="00C4328C" w:rsidRPr="00E66A90" w:rsidRDefault="00C4328C" w:rsidP="00E66A90">
            <w:pPr>
              <w:spacing w:before="0" w:after="0" w:line="240" w:lineRule="auto"/>
              <w:rPr>
                <w:rFonts w:eastAsia="Times New Roman" w:cs="Calibri Light"/>
                <w:iCs/>
                <w:sz w:val="20"/>
                <w:szCs w:val="20"/>
              </w:rPr>
            </w:pPr>
          </w:p>
        </w:tc>
        <w:tc>
          <w:tcPr>
            <w:tcW w:w="1160" w:type="dxa"/>
            <w:shd w:val="clear" w:color="auto" w:fill="auto"/>
            <w:noWrap/>
            <w:vAlign w:val="center"/>
            <w:hideMark/>
          </w:tcPr>
          <w:p w14:paraId="5C34E8C7"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11.0</w:t>
            </w:r>
          </w:p>
        </w:tc>
        <w:tc>
          <w:tcPr>
            <w:tcW w:w="1240" w:type="dxa"/>
            <w:shd w:val="clear" w:color="auto" w:fill="auto"/>
            <w:noWrap/>
            <w:vAlign w:val="center"/>
            <w:hideMark/>
          </w:tcPr>
          <w:p w14:paraId="74D3091C"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12.3</w:t>
            </w:r>
          </w:p>
        </w:tc>
      </w:tr>
      <w:tr w:rsidR="00C4328C" w:rsidRPr="00BF1399" w14:paraId="377EBEB1" w14:textId="77777777" w:rsidTr="00B378DE">
        <w:trPr>
          <w:trHeight w:val="290"/>
        </w:trPr>
        <w:tc>
          <w:tcPr>
            <w:tcW w:w="2840" w:type="dxa"/>
            <w:vMerge/>
            <w:shd w:val="clear" w:color="auto" w:fill="auto"/>
            <w:noWrap/>
            <w:vAlign w:val="bottom"/>
          </w:tcPr>
          <w:p w14:paraId="3A15271B" w14:textId="252ABE72" w:rsidR="00C4328C" w:rsidRPr="00E66A90" w:rsidRDefault="00C4328C" w:rsidP="00E66A90">
            <w:pPr>
              <w:spacing w:before="0" w:after="0" w:line="240" w:lineRule="auto"/>
              <w:rPr>
                <w:rFonts w:eastAsia="Times New Roman" w:cs="Calibri Light"/>
                <w:iCs/>
                <w:sz w:val="20"/>
                <w:szCs w:val="20"/>
              </w:rPr>
            </w:pPr>
          </w:p>
        </w:tc>
        <w:tc>
          <w:tcPr>
            <w:tcW w:w="1160" w:type="dxa"/>
            <w:shd w:val="clear" w:color="auto" w:fill="auto"/>
            <w:noWrap/>
            <w:vAlign w:val="center"/>
            <w:hideMark/>
          </w:tcPr>
          <w:p w14:paraId="588A08C7"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12.0</w:t>
            </w:r>
          </w:p>
        </w:tc>
        <w:tc>
          <w:tcPr>
            <w:tcW w:w="1240" w:type="dxa"/>
            <w:shd w:val="clear" w:color="auto" w:fill="auto"/>
            <w:noWrap/>
            <w:vAlign w:val="center"/>
            <w:hideMark/>
          </w:tcPr>
          <w:p w14:paraId="427FAF8E" w14:textId="77777777" w:rsidR="00C4328C" w:rsidRPr="00E66A90" w:rsidRDefault="00C4328C"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13.8</w:t>
            </w:r>
          </w:p>
        </w:tc>
      </w:tr>
    </w:tbl>
    <w:p w14:paraId="4BB6D391" w14:textId="5CAD982B" w:rsidR="00DD237D" w:rsidRDefault="00DD237D" w:rsidP="00DD237D">
      <w:pPr>
        <w:pStyle w:val="Caption"/>
      </w:pPr>
      <w:r>
        <w:t xml:space="preserve">Heat Pump </w:t>
      </w:r>
      <w:r w:rsidRPr="001C4CB0">
        <w:t>Measure Case Specification</w:t>
      </w:r>
    </w:p>
    <w:tbl>
      <w:tblPr>
        <w:tblW w:w="52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40"/>
        <w:gridCol w:w="1160"/>
        <w:gridCol w:w="1240"/>
      </w:tblGrid>
      <w:tr w:rsidR="00DD237D" w:rsidRPr="00BF1399" w14:paraId="4484E66F" w14:textId="77777777" w:rsidTr="008D09F8">
        <w:trPr>
          <w:trHeight w:val="290"/>
          <w:tblHeader/>
        </w:trPr>
        <w:tc>
          <w:tcPr>
            <w:tcW w:w="2840" w:type="dxa"/>
            <w:shd w:val="clear" w:color="auto" w:fill="F2F2F2" w:themeFill="background1" w:themeFillShade="F2"/>
            <w:vAlign w:val="bottom"/>
            <w:hideMark/>
          </w:tcPr>
          <w:p w14:paraId="3FDF3020" w14:textId="77777777" w:rsidR="00DD237D" w:rsidRPr="00E66A90" w:rsidRDefault="00DD237D" w:rsidP="008D09F8">
            <w:pPr>
              <w:spacing w:before="0" w:after="0" w:line="240" w:lineRule="auto"/>
              <w:jc w:val="center"/>
              <w:rPr>
                <w:rFonts w:eastAsia="Times New Roman" w:cs="Calibri Light"/>
                <w:b/>
                <w:bCs/>
                <w:sz w:val="20"/>
                <w:szCs w:val="20"/>
              </w:rPr>
            </w:pPr>
            <w:r w:rsidRPr="00E66A90">
              <w:rPr>
                <w:rFonts w:eastAsia="Times New Roman" w:cs="Calibri Light"/>
                <w:b/>
                <w:bCs/>
                <w:sz w:val="20"/>
                <w:szCs w:val="20"/>
              </w:rPr>
              <w:t>Capacity Range</w:t>
            </w:r>
            <w:r>
              <w:rPr>
                <w:rFonts w:eastAsia="Times New Roman" w:cs="Calibri Light"/>
                <w:b/>
                <w:bCs/>
                <w:sz w:val="20"/>
                <w:szCs w:val="20"/>
              </w:rPr>
              <w:t xml:space="preserve"> (kBtuh)</w:t>
            </w:r>
          </w:p>
        </w:tc>
        <w:tc>
          <w:tcPr>
            <w:tcW w:w="1160" w:type="dxa"/>
            <w:shd w:val="clear" w:color="auto" w:fill="F2F2F2" w:themeFill="background1" w:themeFillShade="F2"/>
            <w:vAlign w:val="bottom"/>
            <w:hideMark/>
          </w:tcPr>
          <w:p w14:paraId="70461C48" w14:textId="77777777" w:rsidR="00DD237D" w:rsidRPr="00E66A90" w:rsidRDefault="00DD237D" w:rsidP="008D09F8">
            <w:pPr>
              <w:spacing w:before="0" w:after="0" w:line="240" w:lineRule="auto"/>
              <w:jc w:val="center"/>
              <w:rPr>
                <w:rFonts w:eastAsia="Times New Roman" w:cs="Calibri Light"/>
                <w:b/>
                <w:bCs/>
                <w:sz w:val="20"/>
                <w:szCs w:val="20"/>
              </w:rPr>
            </w:pPr>
            <w:r w:rsidRPr="00E66A90">
              <w:rPr>
                <w:rFonts w:eastAsia="Times New Roman" w:cs="Calibri Light"/>
                <w:b/>
                <w:bCs/>
                <w:sz w:val="20"/>
                <w:szCs w:val="20"/>
              </w:rPr>
              <w:t>EER</w:t>
            </w:r>
          </w:p>
        </w:tc>
        <w:tc>
          <w:tcPr>
            <w:tcW w:w="1240" w:type="dxa"/>
            <w:shd w:val="clear" w:color="auto" w:fill="F2F2F2" w:themeFill="background1" w:themeFillShade="F2"/>
            <w:vAlign w:val="bottom"/>
            <w:hideMark/>
          </w:tcPr>
          <w:p w14:paraId="4CB7DC22" w14:textId="1102717B" w:rsidR="00DD237D" w:rsidRPr="00E66A90" w:rsidRDefault="00DD237D" w:rsidP="008D09F8">
            <w:pPr>
              <w:spacing w:before="0" w:after="0" w:line="240" w:lineRule="auto"/>
              <w:jc w:val="center"/>
              <w:rPr>
                <w:rFonts w:eastAsia="Times New Roman" w:cs="Calibri Light"/>
                <w:b/>
                <w:bCs/>
                <w:sz w:val="20"/>
                <w:szCs w:val="20"/>
              </w:rPr>
            </w:pPr>
            <w:r>
              <w:rPr>
                <w:rFonts w:eastAsia="Times New Roman" w:cs="Calibri Light"/>
                <w:b/>
                <w:bCs/>
                <w:sz w:val="20"/>
                <w:szCs w:val="20"/>
              </w:rPr>
              <w:t>COP</w:t>
            </w:r>
          </w:p>
        </w:tc>
      </w:tr>
      <w:tr w:rsidR="00DD237D" w:rsidRPr="00BF1399" w14:paraId="55EFF64A" w14:textId="77777777" w:rsidTr="00B378DE">
        <w:trPr>
          <w:trHeight w:val="290"/>
        </w:trPr>
        <w:tc>
          <w:tcPr>
            <w:tcW w:w="2840" w:type="dxa"/>
            <w:vMerge w:val="restart"/>
            <w:shd w:val="clear" w:color="auto" w:fill="auto"/>
            <w:noWrap/>
            <w:vAlign w:val="center"/>
            <w:hideMark/>
          </w:tcPr>
          <w:p w14:paraId="3989013F" w14:textId="77777777" w:rsidR="00DD237D" w:rsidRPr="00E66A90" w:rsidRDefault="00DD237D" w:rsidP="008D09F8">
            <w:pPr>
              <w:spacing w:before="0" w:after="0" w:line="240" w:lineRule="auto"/>
              <w:rPr>
                <w:rFonts w:eastAsia="Times New Roman" w:cs="Calibri Light"/>
                <w:iCs/>
                <w:sz w:val="20"/>
                <w:szCs w:val="20"/>
              </w:rPr>
            </w:pPr>
            <w:r w:rsidRPr="00E66A90">
              <w:rPr>
                <w:rFonts w:eastAsia="Times New Roman" w:cs="Calibri Light"/>
                <w:iCs/>
                <w:sz w:val="20"/>
                <w:szCs w:val="20"/>
              </w:rPr>
              <w:t>65 - 134 kBTUh</w:t>
            </w:r>
          </w:p>
        </w:tc>
        <w:tc>
          <w:tcPr>
            <w:tcW w:w="1160" w:type="dxa"/>
            <w:shd w:val="clear" w:color="auto" w:fill="auto"/>
            <w:noWrap/>
            <w:vAlign w:val="center"/>
            <w:hideMark/>
          </w:tcPr>
          <w:p w14:paraId="5801AE51" w14:textId="77777777" w:rsidR="00DD237D" w:rsidRPr="00E66A90" w:rsidRDefault="00DD237D"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11.5</w:t>
            </w:r>
          </w:p>
        </w:tc>
        <w:tc>
          <w:tcPr>
            <w:tcW w:w="1240" w:type="dxa"/>
            <w:shd w:val="clear" w:color="auto" w:fill="auto"/>
            <w:noWrap/>
            <w:vAlign w:val="center"/>
            <w:hideMark/>
          </w:tcPr>
          <w:p w14:paraId="538950DC" w14:textId="2EACDF43" w:rsidR="00DD237D" w:rsidRPr="00E66A90" w:rsidRDefault="00DD237D" w:rsidP="00B378DE">
            <w:pPr>
              <w:spacing w:before="0" w:after="0" w:line="240" w:lineRule="auto"/>
              <w:jc w:val="right"/>
              <w:rPr>
                <w:rFonts w:eastAsia="Times New Roman" w:cs="Calibri Light"/>
                <w:iCs/>
                <w:sz w:val="20"/>
                <w:szCs w:val="20"/>
              </w:rPr>
            </w:pPr>
            <w:r>
              <w:rPr>
                <w:rFonts w:eastAsia="Times New Roman" w:cs="Calibri Light"/>
                <w:iCs/>
                <w:sz w:val="20"/>
                <w:szCs w:val="20"/>
              </w:rPr>
              <w:t>3</w:t>
            </w:r>
            <w:r w:rsidRPr="00E66A90">
              <w:rPr>
                <w:rFonts w:eastAsia="Times New Roman" w:cs="Calibri Light"/>
                <w:iCs/>
                <w:sz w:val="20"/>
                <w:szCs w:val="20"/>
              </w:rPr>
              <w:t>.</w:t>
            </w:r>
            <w:r w:rsidR="0098297B">
              <w:rPr>
                <w:rFonts w:eastAsia="Times New Roman" w:cs="Calibri Light"/>
                <w:iCs/>
                <w:sz w:val="20"/>
                <w:szCs w:val="20"/>
              </w:rPr>
              <w:t>4</w:t>
            </w:r>
          </w:p>
        </w:tc>
      </w:tr>
      <w:tr w:rsidR="00DD237D" w:rsidRPr="00BF1399" w14:paraId="470A76DF" w14:textId="77777777" w:rsidTr="00B378DE">
        <w:trPr>
          <w:trHeight w:val="290"/>
        </w:trPr>
        <w:tc>
          <w:tcPr>
            <w:tcW w:w="2840" w:type="dxa"/>
            <w:vMerge/>
            <w:shd w:val="clear" w:color="auto" w:fill="auto"/>
            <w:noWrap/>
            <w:vAlign w:val="center"/>
          </w:tcPr>
          <w:p w14:paraId="71C86413" w14:textId="77777777" w:rsidR="00DD237D" w:rsidRPr="00E66A90" w:rsidRDefault="00DD237D" w:rsidP="008D09F8">
            <w:pPr>
              <w:spacing w:before="0" w:after="0" w:line="240" w:lineRule="auto"/>
              <w:rPr>
                <w:rFonts w:eastAsia="Times New Roman" w:cs="Calibri Light"/>
                <w:iCs/>
                <w:sz w:val="20"/>
                <w:szCs w:val="20"/>
              </w:rPr>
            </w:pPr>
          </w:p>
        </w:tc>
        <w:tc>
          <w:tcPr>
            <w:tcW w:w="1160" w:type="dxa"/>
            <w:shd w:val="clear" w:color="auto" w:fill="auto"/>
            <w:noWrap/>
            <w:vAlign w:val="center"/>
            <w:hideMark/>
          </w:tcPr>
          <w:p w14:paraId="2FB41C06" w14:textId="77777777" w:rsidR="00DD237D" w:rsidRPr="00E66A90" w:rsidRDefault="00DD237D"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12.0</w:t>
            </w:r>
          </w:p>
        </w:tc>
        <w:tc>
          <w:tcPr>
            <w:tcW w:w="1240" w:type="dxa"/>
            <w:shd w:val="clear" w:color="auto" w:fill="auto"/>
            <w:noWrap/>
            <w:vAlign w:val="center"/>
            <w:hideMark/>
          </w:tcPr>
          <w:p w14:paraId="2BA3D40B" w14:textId="43B9AC8D" w:rsidR="00DD237D" w:rsidRPr="00E66A90" w:rsidRDefault="00D06583" w:rsidP="00B378DE">
            <w:pPr>
              <w:spacing w:before="0" w:after="0" w:line="240" w:lineRule="auto"/>
              <w:jc w:val="right"/>
              <w:rPr>
                <w:rFonts w:eastAsia="Times New Roman" w:cs="Calibri Light"/>
                <w:iCs/>
                <w:sz w:val="20"/>
                <w:szCs w:val="20"/>
              </w:rPr>
            </w:pPr>
            <w:r>
              <w:rPr>
                <w:rFonts w:eastAsia="Times New Roman" w:cs="Calibri Light"/>
                <w:iCs/>
                <w:sz w:val="20"/>
                <w:szCs w:val="20"/>
              </w:rPr>
              <w:t>3.4</w:t>
            </w:r>
          </w:p>
        </w:tc>
      </w:tr>
      <w:tr w:rsidR="00DD237D" w:rsidRPr="00BF1399" w14:paraId="4C0F26CD" w14:textId="77777777" w:rsidTr="00B378DE">
        <w:trPr>
          <w:trHeight w:val="285"/>
        </w:trPr>
        <w:tc>
          <w:tcPr>
            <w:tcW w:w="2840" w:type="dxa"/>
            <w:vMerge w:val="restart"/>
            <w:shd w:val="clear" w:color="auto" w:fill="auto"/>
            <w:noWrap/>
            <w:vAlign w:val="center"/>
            <w:hideMark/>
          </w:tcPr>
          <w:p w14:paraId="11B0A450" w14:textId="77777777" w:rsidR="00DD237D" w:rsidRPr="00E66A90" w:rsidRDefault="00DD237D" w:rsidP="008D09F8">
            <w:pPr>
              <w:spacing w:before="0" w:after="0" w:line="240" w:lineRule="auto"/>
              <w:rPr>
                <w:rFonts w:eastAsia="Times New Roman" w:cs="Calibri Light"/>
                <w:iCs/>
                <w:sz w:val="20"/>
                <w:szCs w:val="20"/>
              </w:rPr>
            </w:pPr>
            <w:r w:rsidRPr="00E66A90">
              <w:rPr>
                <w:rFonts w:eastAsia="Times New Roman" w:cs="Calibri Light"/>
                <w:iCs/>
                <w:sz w:val="20"/>
                <w:szCs w:val="20"/>
              </w:rPr>
              <w:t>135 - 240 kBTUh</w:t>
            </w:r>
          </w:p>
        </w:tc>
        <w:tc>
          <w:tcPr>
            <w:tcW w:w="1160" w:type="dxa"/>
            <w:shd w:val="clear" w:color="auto" w:fill="auto"/>
            <w:noWrap/>
            <w:vAlign w:val="center"/>
            <w:hideMark/>
          </w:tcPr>
          <w:p w14:paraId="409C40B8" w14:textId="77777777" w:rsidR="00DD237D" w:rsidRPr="00E66A90" w:rsidRDefault="00DD237D"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11.5</w:t>
            </w:r>
          </w:p>
        </w:tc>
        <w:tc>
          <w:tcPr>
            <w:tcW w:w="1240" w:type="dxa"/>
            <w:shd w:val="clear" w:color="auto" w:fill="auto"/>
            <w:noWrap/>
            <w:vAlign w:val="center"/>
            <w:hideMark/>
          </w:tcPr>
          <w:p w14:paraId="456B9A66" w14:textId="1528A405" w:rsidR="00DD237D" w:rsidRPr="00E66A90" w:rsidRDefault="00D06583" w:rsidP="00B378DE">
            <w:pPr>
              <w:spacing w:before="0" w:after="0" w:line="240" w:lineRule="auto"/>
              <w:jc w:val="right"/>
              <w:rPr>
                <w:rFonts w:eastAsia="Times New Roman" w:cs="Calibri Light"/>
                <w:iCs/>
                <w:sz w:val="20"/>
                <w:szCs w:val="20"/>
              </w:rPr>
            </w:pPr>
            <w:r>
              <w:rPr>
                <w:rFonts w:eastAsia="Times New Roman" w:cs="Calibri Light"/>
                <w:iCs/>
                <w:sz w:val="20"/>
                <w:szCs w:val="20"/>
              </w:rPr>
              <w:t>3.2</w:t>
            </w:r>
          </w:p>
        </w:tc>
      </w:tr>
      <w:tr w:rsidR="00DD237D" w:rsidRPr="00BF1399" w14:paraId="015591D9" w14:textId="77777777" w:rsidTr="00B378DE">
        <w:trPr>
          <w:trHeight w:val="290"/>
        </w:trPr>
        <w:tc>
          <w:tcPr>
            <w:tcW w:w="2840" w:type="dxa"/>
            <w:vMerge/>
            <w:shd w:val="clear" w:color="auto" w:fill="auto"/>
            <w:noWrap/>
            <w:vAlign w:val="center"/>
          </w:tcPr>
          <w:p w14:paraId="7C5067F3" w14:textId="77777777" w:rsidR="00DD237D" w:rsidRPr="00E66A90" w:rsidRDefault="00DD237D" w:rsidP="008D09F8">
            <w:pPr>
              <w:spacing w:before="0" w:after="0" w:line="240" w:lineRule="auto"/>
              <w:rPr>
                <w:rFonts w:eastAsia="Times New Roman" w:cs="Calibri Light"/>
                <w:iCs/>
                <w:sz w:val="20"/>
                <w:szCs w:val="20"/>
              </w:rPr>
            </w:pPr>
          </w:p>
        </w:tc>
        <w:tc>
          <w:tcPr>
            <w:tcW w:w="1160" w:type="dxa"/>
            <w:shd w:val="clear" w:color="auto" w:fill="auto"/>
            <w:noWrap/>
            <w:vAlign w:val="center"/>
            <w:hideMark/>
          </w:tcPr>
          <w:p w14:paraId="33B0E18B" w14:textId="77777777" w:rsidR="00DD237D" w:rsidRPr="00E66A90" w:rsidRDefault="00DD237D"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12.0</w:t>
            </w:r>
          </w:p>
        </w:tc>
        <w:tc>
          <w:tcPr>
            <w:tcW w:w="1240" w:type="dxa"/>
            <w:shd w:val="clear" w:color="auto" w:fill="auto"/>
            <w:noWrap/>
            <w:vAlign w:val="center"/>
            <w:hideMark/>
          </w:tcPr>
          <w:p w14:paraId="23C96C89" w14:textId="072A87B9" w:rsidR="00DD237D" w:rsidRPr="00E66A90" w:rsidRDefault="00D06583" w:rsidP="00B378DE">
            <w:pPr>
              <w:spacing w:before="0" w:after="0" w:line="240" w:lineRule="auto"/>
              <w:jc w:val="right"/>
              <w:rPr>
                <w:rFonts w:eastAsia="Times New Roman" w:cs="Calibri Light"/>
                <w:iCs/>
                <w:sz w:val="20"/>
                <w:szCs w:val="20"/>
              </w:rPr>
            </w:pPr>
            <w:r>
              <w:rPr>
                <w:rFonts w:eastAsia="Times New Roman" w:cs="Calibri Light"/>
                <w:iCs/>
                <w:sz w:val="20"/>
                <w:szCs w:val="20"/>
              </w:rPr>
              <w:t>3.2</w:t>
            </w:r>
          </w:p>
        </w:tc>
      </w:tr>
      <w:tr w:rsidR="00DD237D" w:rsidRPr="00BF1399" w14:paraId="088BE22B" w14:textId="77777777" w:rsidTr="00B378DE">
        <w:trPr>
          <w:trHeight w:val="290"/>
        </w:trPr>
        <w:tc>
          <w:tcPr>
            <w:tcW w:w="2840" w:type="dxa"/>
            <w:vMerge w:val="restart"/>
            <w:shd w:val="clear" w:color="auto" w:fill="auto"/>
            <w:noWrap/>
            <w:vAlign w:val="center"/>
            <w:hideMark/>
          </w:tcPr>
          <w:p w14:paraId="36C3AF76" w14:textId="77777777" w:rsidR="00DD237D" w:rsidRPr="00E66A90" w:rsidRDefault="00DD237D" w:rsidP="008D09F8">
            <w:pPr>
              <w:spacing w:before="0" w:after="0" w:line="240" w:lineRule="auto"/>
              <w:rPr>
                <w:rFonts w:eastAsia="Times New Roman" w:cs="Calibri Light"/>
                <w:iCs/>
                <w:sz w:val="20"/>
                <w:szCs w:val="20"/>
              </w:rPr>
            </w:pPr>
            <w:r w:rsidRPr="00E66A90">
              <w:rPr>
                <w:rFonts w:eastAsia="Times New Roman" w:cs="Calibri Light"/>
                <w:iCs/>
                <w:sz w:val="20"/>
                <w:szCs w:val="20"/>
              </w:rPr>
              <w:t>240 - 760 kBTUh</w:t>
            </w:r>
          </w:p>
        </w:tc>
        <w:tc>
          <w:tcPr>
            <w:tcW w:w="1160" w:type="dxa"/>
            <w:shd w:val="clear" w:color="auto" w:fill="auto"/>
            <w:noWrap/>
            <w:vAlign w:val="center"/>
            <w:hideMark/>
          </w:tcPr>
          <w:p w14:paraId="0C2F2321" w14:textId="623B3B33" w:rsidR="00DD237D" w:rsidRPr="00E66A90" w:rsidRDefault="00DD237D"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10.</w:t>
            </w:r>
            <w:r w:rsidR="00923AF0">
              <w:rPr>
                <w:rFonts w:eastAsia="Times New Roman" w:cs="Calibri Light"/>
                <w:iCs/>
                <w:sz w:val="20"/>
                <w:szCs w:val="20"/>
              </w:rPr>
              <w:t>5</w:t>
            </w:r>
          </w:p>
        </w:tc>
        <w:tc>
          <w:tcPr>
            <w:tcW w:w="1240" w:type="dxa"/>
            <w:shd w:val="clear" w:color="auto" w:fill="auto"/>
            <w:noWrap/>
            <w:vAlign w:val="center"/>
            <w:hideMark/>
          </w:tcPr>
          <w:p w14:paraId="076353A0" w14:textId="044DDEC6" w:rsidR="00DD237D" w:rsidRPr="00E66A90" w:rsidRDefault="00D06583" w:rsidP="00B378DE">
            <w:pPr>
              <w:spacing w:before="0" w:after="0" w:line="240" w:lineRule="auto"/>
              <w:jc w:val="right"/>
              <w:rPr>
                <w:rFonts w:eastAsia="Times New Roman" w:cs="Calibri Light"/>
                <w:iCs/>
                <w:sz w:val="20"/>
                <w:szCs w:val="20"/>
              </w:rPr>
            </w:pPr>
            <w:r>
              <w:rPr>
                <w:rFonts w:eastAsia="Times New Roman" w:cs="Calibri Light"/>
                <w:iCs/>
                <w:sz w:val="20"/>
                <w:szCs w:val="20"/>
              </w:rPr>
              <w:t>3.2</w:t>
            </w:r>
          </w:p>
        </w:tc>
      </w:tr>
      <w:tr w:rsidR="00DD237D" w:rsidRPr="00BF1399" w14:paraId="5D04DBF4" w14:textId="77777777" w:rsidTr="00B378DE">
        <w:trPr>
          <w:trHeight w:val="290"/>
        </w:trPr>
        <w:tc>
          <w:tcPr>
            <w:tcW w:w="2840" w:type="dxa"/>
            <w:vMerge/>
            <w:shd w:val="clear" w:color="auto" w:fill="auto"/>
            <w:noWrap/>
            <w:vAlign w:val="center"/>
          </w:tcPr>
          <w:p w14:paraId="79703235" w14:textId="77777777" w:rsidR="00DD237D" w:rsidRPr="00E66A90" w:rsidRDefault="00DD237D" w:rsidP="008D09F8">
            <w:pPr>
              <w:spacing w:before="0" w:after="0" w:line="240" w:lineRule="auto"/>
              <w:rPr>
                <w:rFonts w:eastAsia="Times New Roman" w:cs="Calibri Light"/>
                <w:iCs/>
                <w:sz w:val="20"/>
                <w:szCs w:val="20"/>
              </w:rPr>
            </w:pPr>
          </w:p>
        </w:tc>
        <w:tc>
          <w:tcPr>
            <w:tcW w:w="1160" w:type="dxa"/>
            <w:shd w:val="clear" w:color="auto" w:fill="auto"/>
            <w:noWrap/>
            <w:vAlign w:val="center"/>
            <w:hideMark/>
          </w:tcPr>
          <w:p w14:paraId="604309FF" w14:textId="31CC6BA3" w:rsidR="00DD237D" w:rsidRPr="00E66A90" w:rsidRDefault="00DD237D" w:rsidP="00B378DE">
            <w:pPr>
              <w:spacing w:before="0" w:after="0" w:line="240" w:lineRule="auto"/>
              <w:jc w:val="right"/>
              <w:rPr>
                <w:rFonts w:eastAsia="Times New Roman" w:cs="Calibri Light"/>
                <w:iCs/>
                <w:sz w:val="20"/>
                <w:szCs w:val="20"/>
              </w:rPr>
            </w:pPr>
            <w:r w:rsidRPr="00E66A90">
              <w:rPr>
                <w:rFonts w:eastAsia="Times New Roman" w:cs="Calibri Light"/>
                <w:iCs/>
                <w:sz w:val="20"/>
                <w:szCs w:val="20"/>
              </w:rPr>
              <w:t>1</w:t>
            </w:r>
            <w:r w:rsidR="00923AF0">
              <w:rPr>
                <w:rFonts w:eastAsia="Times New Roman" w:cs="Calibri Light"/>
                <w:iCs/>
                <w:sz w:val="20"/>
                <w:szCs w:val="20"/>
              </w:rPr>
              <w:t>0</w:t>
            </w:r>
            <w:r w:rsidRPr="00E66A90">
              <w:rPr>
                <w:rFonts w:eastAsia="Times New Roman" w:cs="Calibri Light"/>
                <w:iCs/>
                <w:sz w:val="20"/>
                <w:szCs w:val="20"/>
              </w:rPr>
              <w:t>.</w:t>
            </w:r>
            <w:r w:rsidR="00923AF0">
              <w:rPr>
                <w:rFonts w:eastAsia="Times New Roman" w:cs="Calibri Light"/>
                <w:iCs/>
                <w:sz w:val="20"/>
                <w:szCs w:val="20"/>
              </w:rPr>
              <w:t>8</w:t>
            </w:r>
          </w:p>
        </w:tc>
        <w:tc>
          <w:tcPr>
            <w:tcW w:w="1240" w:type="dxa"/>
            <w:shd w:val="clear" w:color="auto" w:fill="auto"/>
            <w:noWrap/>
            <w:vAlign w:val="center"/>
            <w:hideMark/>
          </w:tcPr>
          <w:p w14:paraId="06E36776" w14:textId="33F640E5" w:rsidR="00DD237D" w:rsidRPr="00E66A90" w:rsidRDefault="00D06583" w:rsidP="00B378DE">
            <w:pPr>
              <w:spacing w:before="0" w:after="0" w:line="240" w:lineRule="auto"/>
              <w:jc w:val="right"/>
              <w:rPr>
                <w:rFonts w:eastAsia="Times New Roman" w:cs="Calibri Light"/>
                <w:iCs/>
                <w:sz w:val="20"/>
                <w:szCs w:val="20"/>
              </w:rPr>
            </w:pPr>
            <w:r>
              <w:rPr>
                <w:rFonts w:eastAsia="Times New Roman" w:cs="Calibri Light"/>
                <w:iCs/>
                <w:sz w:val="20"/>
                <w:szCs w:val="20"/>
              </w:rPr>
              <w:t>3.2</w:t>
            </w:r>
          </w:p>
        </w:tc>
      </w:tr>
    </w:tbl>
    <w:p w14:paraId="78D9C483" w14:textId="77777777" w:rsidR="00FB395B" w:rsidRPr="004B06E3" w:rsidRDefault="00FB395B" w:rsidP="00DE339F"/>
    <w:p w14:paraId="54FD79D6" w14:textId="77777777" w:rsidR="00E70CBD" w:rsidRPr="00171BB8" w:rsidRDefault="00E70CBD" w:rsidP="00462BB6">
      <w:pPr>
        <w:pStyle w:val="eTRMHeading3"/>
      </w:pPr>
      <w:bookmarkStart w:id="14" w:name="_Toc486490849"/>
      <w:bookmarkStart w:id="15" w:name="_Toc486580920"/>
      <w:bookmarkStart w:id="16" w:name="_Toc20997606"/>
      <w:r w:rsidRPr="004B06E3">
        <w:t>Base Case Description</w:t>
      </w:r>
      <w:bookmarkEnd w:id="14"/>
      <w:bookmarkEnd w:id="15"/>
      <w:bookmarkEnd w:id="16"/>
      <w:r w:rsidRPr="00171BB8">
        <w:t xml:space="preserve"> </w:t>
      </w:r>
    </w:p>
    <w:p w14:paraId="7CDE82E6" w14:textId="3D498893" w:rsidR="00DF1F9C" w:rsidRDefault="005A2CFE" w:rsidP="005A2CFE">
      <w:bookmarkStart w:id="17" w:name="_Toc486490850"/>
      <w:bookmarkStart w:id="18" w:name="_Toc486580921"/>
      <w:r>
        <w:t xml:space="preserve">The base case is defined as an existing air-cooled air conditioner or heat pump with cooling capacity &gt; 65 kBtuh in a nonresidential building that meets the </w:t>
      </w:r>
      <w:r w:rsidR="00D06842">
        <w:t>minimum efficiency standards</w:t>
      </w:r>
      <w:r>
        <w:t xml:space="preserve"> (See Code Requirements).</w:t>
      </w:r>
    </w:p>
    <w:p w14:paraId="49095754" w14:textId="77777777" w:rsidR="00C16C6F" w:rsidRDefault="00C16C6F" w:rsidP="005A2CFE"/>
    <w:p w14:paraId="7D9DA4A6" w14:textId="62CD4B40" w:rsidR="007D230B" w:rsidRPr="00171BB8" w:rsidRDefault="007D230B" w:rsidP="004F705B">
      <w:pPr>
        <w:pStyle w:val="eTRMHeading3"/>
      </w:pPr>
      <w:bookmarkStart w:id="19" w:name="_Toc20997607"/>
      <w:r w:rsidRPr="004B06E3">
        <w:lastRenderedPageBreak/>
        <w:t>Code Requirements</w:t>
      </w:r>
      <w:bookmarkEnd w:id="17"/>
      <w:bookmarkEnd w:id="18"/>
      <w:bookmarkEnd w:id="19"/>
    </w:p>
    <w:p w14:paraId="2C3B7A6D" w14:textId="2113F907" w:rsidR="00826720" w:rsidRDefault="004E3E07" w:rsidP="004F705B">
      <w:pPr>
        <w:keepNext/>
        <w:keepLines/>
      </w:pPr>
      <w:r>
        <w:t xml:space="preserve">The minimum energy efficiency requirements for this measure are stipulated by the </w:t>
      </w:r>
      <w:r w:rsidR="00942B27">
        <w:t xml:space="preserve">U.S. Department of Energy </w:t>
      </w:r>
      <w:r w:rsidR="00BE35FF">
        <w:t xml:space="preserve">(DOE) </w:t>
      </w:r>
      <w:r w:rsidR="00942B27">
        <w:t>appliance standards program</w:t>
      </w:r>
      <w:r>
        <w:t xml:space="preserve"> and the California Building Energy Efficiency Standards (Title 24), as noted below. </w:t>
      </w:r>
      <w:r w:rsidR="00942B27">
        <w:t>Commercial unitary air conditioners and heat pumps are federally pre-empted</w:t>
      </w:r>
      <w:r w:rsidR="00826720">
        <w:t xml:space="preserve">, meaning California Title 20 follows the federal standards. </w:t>
      </w:r>
      <w:r>
        <w:t xml:space="preserve">The California </w:t>
      </w:r>
      <w:r w:rsidR="00685C44">
        <w:t xml:space="preserve">building code includes an EER requirement in addition to IEER, making </w:t>
      </w:r>
      <w:r w:rsidR="00942B27">
        <w:t>it</w:t>
      </w:r>
      <w:r>
        <w:t xml:space="preserve"> more stringent than the federal requirements.</w:t>
      </w:r>
    </w:p>
    <w:p w14:paraId="3B860485" w14:textId="44564AC7" w:rsidR="001C4E05" w:rsidRDefault="001C4E05" w:rsidP="008516EB">
      <w:pPr>
        <w:pStyle w:val="Caption"/>
      </w:pPr>
      <w:r w:rsidRPr="00585F55">
        <w:t>Applicable State and Federal Codes and Standards</w:t>
      </w:r>
    </w:p>
    <w:tbl>
      <w:tblPr>
        <w:tblW w:w="928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595"/>
        <w:gridCol w:w="3263"/>
        <w:gridCol w:w="2430"/>
      </w:tblGrid>
      <w:tr w:rsidR="00FC77BB" w:rsidRPr="00154391" w14:paraId="4623D54B" w14:textId="689B6080" w:rsidTr="00C60E6F">
        <w:trPr>
          <w:cantSplit/>
          <w:trHeight w:val="20"/>
        </w:trPr>
        <w:tc>
          <w:tcPr>
            <w:tcW w:w="3595" w:type="dxa"/>
            <w:shd w:val="clear" w:color="auto" w:fill="F2F2F2" w:themeFill="background1" w:themeFillShade="F2"/>
            <w:vAlign w:val="bottom"/>
          </w:tcPr>
          <w:p w14:paraId="5E8EE0C5" w14:textId="77777777" w:rsidR="00FC77BB" w:rsidRPr="00154391" w:rsidRDefault="00FC77BB" w:rsidP="004F705B">
            <w:pPr>
              <w:keepNext/>
              <w:keepLines/>
              <w:spacing w:before="20" w:after="20"/>
              <w:rPr>
                <w:b/>
                <w:sz w:val="20"/>
                <w:szCs w:val="20"/>
              </w:rPr>
            </w:pPr>
            <w:r w:rsidRPr="0079498E">
              <w:rPr>
                <w:b/>
                <w:sz w:val="20"/>
              </w:rPr>
              <w:t>Code</w:t>
            </w:r>
          </w:p>
        </w:tc>
        <w:tc>
          <w:tcPr>
            <w:tcW w:w="3263" w:type="dxa"/>
            <w:shd w:val="clear" w:color="auto" w:fill="F2F2F2" w:themeFill="background1" w:themeFillShade="F2"/>
            <w:vAlign w:val="bottom"/>
          </w:tcPr>
          <w:p w14:paraId="2A51DAFB" w14:textId="77777777" w:rsidR="00FC77BB" w:rsidRPr="00154391" w:rsidRDefault="00FC77BB" w:rsidP="004F705B">
            <w:pPr>
              <w:keepNext/>
              <w:keepLines/>
              <w:spacing w:before="20" w:after="20"/>
              <w:jc w:val="center"/>
              <w:rPr>
                <w:b/>
                <w:sz w:val="20"/>
                <w:szCs w:val="20"/>
              </w:rPr>
            </w:pPr>
            <w:r w:rsidRPr="0079498E">
              <w:rPr>
                <w:b/>
                <w:sz w:val="20"/>
              </w:rPr>
              <w:t>Applicable Code Reference</w:t>
            </w:r>
          </w:p>
        </w:tc>
        <w:tc>
          <w:tcPr>
            <w:tcW w:w="2430" w:type="dxa"/>
            <w:shd w:val="clear" w:color="auto" w:fill="F2F2F2" w:themeFill="background1" w:themeFillShade="F2"/>
            <w:vAlign w:val="bottom"/>
          </w:tcPr>
          <w:p w14:paraId="214A9ADD" w14:textId="77777777" w:rsidR="00FC77BB" w:rsidRPr="00154391" w:rsidRDefault="00FC77BB" w:rsidP="004F705B">
            <w:pPr>
              <w:keepNext/>
              <w:keepLines/>
              <w:spacing w:before="20" w:after="20"/>
              <w:jc w:val="center"/>
              <w:rPr>
                <w:b/>
                <w:sz w:val="20"/>
                <w:szCs w:val="20"/>
              </w:rPr>
            </w:pPr>
            <w:r w:rsidRPr="0079498E">
              <w:rPr>
                <w:b/>
                <w:sz w:val="20"/>
              </w:rPr>
              <w:t>Effective Date</w:t>
            </w:r>
          </w:p>
        </w:tc>
      </w:tr>
      <w:tr w:rsidR="00FC77BB" w:rsidRPr="00FB030E" w14:paraId="782F7264" w14:textId="345CFA23" w:rsidTr="00C60E6F">
        <w:trPr>
          <w:cantSplit/>
          <w:trHeight w:val="20"/>
        </w:trPr>
        <w:tc>
          <w:tcPr>
            <w:tcW w:w="3595" w:type="dxa"/>
            <w:shd w:val="clear" w:color="auto" w:fill="auto"/>
            <w:vAlign w:val="center"/>
          </w:tcPr>
          <w:p w14:paraId="67BA833F" w14:textId="35D7156E" w:rsidR="00FC77BB" w:rsidRPr="00BD6838" w:rsidRDefault="00FC77BB" w:rsidP="00882680">
            <w:pPr>
              <w:keepNext/>
              <w:keepLines/>
              <w:spacing w:before="20" w:after="20"/>
              <w:rPr>
                <w:sz w:val="20"/>
                <w:szCs w:val="20"/>
              </w:rPr>
            </w:pPr>
            <w:r w:rsidRPr="00BD6838">
              <w:rPr>
                <w:sz w:val="20"/>
              </w:rPr>
              <w:t xml:space="preserve">CA Appliance Efficiency Regulations – Title 20 </w:t>
            </w:r>
            <w:r w:rsidR="000F45B1">
              <w:rPr>
                <w:sz w:val="20"/>
              </w:rPr>
              <w:t>(201</w:t>
            </w:r>
            <w:r w:rsidR="00E348E4">
              <w:rPr>
                <w:sz w:val="20"/>
              </w:rPr>
              <w:t>8</w:t>
            </w:r>
            <w:r w:rsidR="000F45B1">
              <w:rPr>
                <w:sz w:val="20"/>
              </w:rPr>
              <w:t>)</w:t>
            </w:r>
          </w:p>
        </w:tc>
        <w:tc>
          <w:tcPr>
            <w:tcW w:w="3263" w:type="dxa"/>
            <w:shd w:val="clear" w:color="auto" w:fill="auto"/>
            <w:vAlign w:val="center"/>
          </w:tcPr>
          <w:p w14:paraId="794A0264" w14:textId="523EA409" w:rsidR="00FC77BB" w:rsidRPr="00FB030E" w:rsidRDefault="000F45B1" w:rsidP="00882680">
            <w:pPr>
              <w:keepNext/>
              <w:keepLines/>
              <w:spacing w:before="20" w:after="20"/>
              <w:rPr>
                <w:sz w:val="20"/>
                <w:szCs w:val="20"/>
              </w:rPr>
            </w:pPr>
            <w:r>
              <w:rPr>
                <w:sz w:val="20"/>
                <w:szCs w:val="20"/>
              </w:rPr>
              <w:t>Section 1605.1(c)(1)</w:t>
            </w:r>
            <w:r w:rsidR="00882680">
              <w:rPr>
                <w:sz w:val="20"/>
                <w:szCs w:val="20"/>
              </w:rPr>
              <w:t xml:space="preserve"> Table C-4</w:t>
            </w:r>
          </w:p>
        </w:tc>
        <w:tc>
          <w:tcPr>
            <w:tcW w:w="2430" w:type="dxa"/>
            <w:shd w:val="clear" w:color="auto" w:fill="auto"/>
            <w:vAlign w:val="center"/>
          </w:tcPr>
          <w:p w14:paraId="274AB5DC" w14:textId="175E003E" w:rsidR="00FC77BB" w:rsidRPr="00FB030E" w:rsidRDefault="000F45B1" w:rsidP="00882680">
            <w:pPr>
              <w:keepNext/>
              <w:keepLines/>
              <w:spacing w:before="20" w:after="20"/>
              <w:rPr>
                <w:sz w:val="20"/>
                <w:szCs w:val="20"/>
              </w:rPr>
            </w:pPr>
            <w:r>
              <w:rPr>
                <w:sz w:val="20"/>
                <w:szCs w:val="20"/>
              </w:rPr>
              <w:t xml:space="preserve">January 1, </w:t>
            </w:r>
            <w:r w:rsidR="004B0E62">
              <w:rPr>
                <w:sz w:val="20"/>
                <w:szCs w:val="20"/>
              </w:rPr>
              <w:t>2018</w:t>
            </w:r>
          </w:p>
        </w:tc>
      </w:tr>
      <w:tr w:rsidR="00FC77BB" w:rsidRPr="00FB030E" w14:paraId="1238F946" w14:textId="64CC1E4E" w:rsidTr="00C60E6F">
        <w:trPr>
          <w:cantSplit/>
          <w:trHeight w:val="20"/>
        </w:trPr>
        <w:tc>
          <w:tcPr>
            <w:tcW w:w="3595" w:type="dxa"/>
            <w:shd w:val="clear" w:color="auto" w:fill="auto"/>
            <w:vAlign w:val="center"/>
          </w:tcPr>
          <w:p w14:paraId="4F444C61" w14:textId="0C3C17DA" w:rsidR="00FC77BB" w:rsidRPr="00BD6838" w:rsidRDefault="00FC77BB" w:rsidP="00882680">
            <w:pPr>
              <w:keepNext/>
              <w:keepLines/>
              <w:spacing w:before="20" w:after="20"/>
              <w:rPr>
                <w:sz w:val="20"/>
                <w:szCs w:val="20"/>
              </w:rPr>
            </w:pPr>
            <w:r w:rsidRPr="00BD6838">
              <w:rPr>
                <w:sz w:val="20"/>
              </w:rPr>
              <w:t xml:space="preserve">CA Building Energy Efficiency Standards – Title 24 </w:t>
            </w:r>
            <w:r w:rsidR="00882680">
              <w:rPr>
                <w:sz w:val="20"/>
              </w:rPr>
              <w:t>(</w:t>
            </w:r>
            <w:r w:rsidR="00E348E4">
              <w:rPr>
                <w:sz w:val="20"/>
              </w:rPr>
              <w:t>2019</w:t>
            </w:r>
            <w:r w:rsidR="00882680">
              <w:rPr>
                <w:sz w:val="20"/>
              </w:rPr>
              <w:t>)</w:t>
            </w:r>
          </w:p>
        </w:tc>
        <w:tc>
          <w:tcPr>
            <w:tcW w:w="3263" w:type="dxa"/>
            <w:shd w:val="clear" w:color="auto" w:fill="auto"/>
            <w:vAlign w:val="center"/>
          </w:tcPr>
          <w:p w14:paraId="0A330E5E" w14:textId="59702C18" w:rsidR="00FC77BB" w:rsidRPr="00FB030E" w:rsidRDefault="000F45B1" w:rsidP="00882680">
            <w:pPr>
              <w:keepNext/>
              <w:keepLines/>
              <w:spacing w:before="20" w:after="20"/>
              <w:rPr>
                <w:sz w:val="20"/>
                <w:szCs w:val="20"/>
              </w:rPr>
            </w:pPr>
            <w:r>
              <w:rPr>
                <w:sz w:val="20"/>
                <w:szCs w:val="20"/>
              </w:rPr>
              <w:t>Section 110.2(a)</w:t>
            </w:r>
            <w:r w:rsidR="00882680">
              <w:rPr>
                <w:rFonts w:ascii="Calibri" w:hAnsi="Calibri" w:cs="Calibri"/>
                <w:szCs w:val="22"/>
              </w:rPr>
              <w:t xml:space="preserve"> </w:t>
            </w:r>
            <w:r w:rsidR="00882680" w:rsidRPr="00882680">
              <w:rPr>
                <w:rFonts w:cs="Calibri Light"/>
                <w:sz w:val="20"/>
                <w:szCs w:val="22"/>
              </w:rPr>
              <w:t>Table 110.2-A</w:t>
            </w:r>
          </w:p>
        </w:tc>
        <w:tc>
          <w:tcPr>
            <w:tcW w:w="2430" w:type="dxa"/>
            <w:shd w:val="clear" w:color="auto" w:fill="auto"/>
            <w:vAlign w:val="center"/>
          </w:tcPr>
          <w:p w14:paraId="63BAD98E" w14:textId="786BCB0D" w:rsidR="00FC77BB" w:rsidRPr="00FB030E" w:rsidRDefault="000F45B1" w:rsidP="00882680">
            <w:pPr>
              <w:keepNext/>
              <w:keepLines/>
              <w:spacing w:before="20" w:after="20"/>
              <w:rPr>
                <w:sz w:val="20"/>
                <w:szCs w:val="20"/>
              </w:rPr>
            </w:pPr>
            <w:r>
              <w:rPr>
                <w:sz w:val="20"/>
                <w:szCs w:val="20"/>
              </w:rPr>
              <w:t xml:space="preserve">January 1, </w:t>
            </w:r>
            <w:r w:rsidR="004B0E62">
              <w:rPr>
                <w:sz w:val="20"/>
                <w:szCs w:val="20"/>
              </w:rPr>
              <w:t>2020</w:t>
            </w:r>
          </w:p>
        </w:tc>
      </w:tr>
      <w:tr w:rsidR="00FC77BB" w:rsidRPr="00FB030E" w14:paraId="23FB50B6" w14:textId="5078B94B" w:rsidTr="00C60E6F">
        <w:trPr>
          <w:cantSplit/>
          <w:trHeight w:val="20"/>
        </w:trPr>
        <w:tc>
          <w:tcPr>
            <w:tcW w:w="3595" w:type="dxa"/>
            <w:shd w:val="clear" w:color="auto" w:fill="auto"/>
            <w:vAlign w:val="center"/>
          </w:tcPr>
          <w:p w14:paraId="2EBFC05B" w14:textId="77777777" w:rsidR="00FC77BB" w:rsidRPr="00BD6838" w:rsidRDefault="00FC77BB" w:rsidP="00882680">
            <w:pPr>
              <w:keepNext/>
              <w:keepLines/>
              <w:spacing w:before="20" w:after="20"/>
              <w:rPr>
                <w:sz w:val="20"/>
                <w:szCs w:val="20"/>
              </w:rPr>
            </w:pPr>
            <w:r w:rsidRPr="00BD6838">
              <w:rPr>
                <w:sz w:val="20"/>
              </w:rPr>
              <w:t>Federal Standards</w:t>
            </w:r>
          </w:p>
        </w:tc>
        <w:tc>
          <w:tcPr>
            <w:tcW w:w="3263" w:type="dxa"/>
            <w:shd w:val="clear" w:color="auto" w:fill="auto"/>
            <w:vAlign w:val="center"/>
          </w:tcPr>
          <w:p w14:paraId="0D43394E" w14:textId="5A59AF27" w:rsidR="00FC77BB" w:rsidRPr="00FB030E" w:rsidRDefault="00E348E4" w:rsidP="00882680">
            <w:pPr>
              <w:keepNext/>
              <w:keepLines/>
              <w:spacing w:before="20" w:after="20"/>
              <w:rPr>
                <w:sz w:val="20"/>
                <w:szCs w:val="20"/>
              </w:rPr>
            </w:pPr>
            <w:r>
              <w:rPr>
                <w:sz w:val="20"/>
                <w:szCs w:val="20"/>
              </w:rPr>
              <w:t xml:space="preserve">10 CFR </w:t>
            </w:r>
            <w:r>
              <w:rPr>
                <w:rFonts w:ascii="Calibri" w:hAnsi="Calibri" w:cs="Calibri"/>
                <w:sz w:val="20"/>
                <w:szCs w:val="20"/>
              </w:rPr>
              <w:t>§</w:t>
            </w:r>
            <w:r>
              <w:rPr>
                <w:sz w:val="20"/>
                <w:szCs w:val="20"/>
              </w:rPr>
              <w:t xml:space="preserve">431.97, </w:t>
            </w:r>
            <w:r w:rsidR="00685C44">
              <w:rPr>
                <w:sz w:val="20"/>
                <w:szCs w:val="20"/>
              </w:rPr>
              <w:t>Table 3</w:t>
            </w:r>
          </w:p>
        </w:tc>
        <w:tc>
          <w:tcPr>
            <w:tcW w:w="2430" w:type="dxa"/>
            <w:shd w:val="clear" w:color="auto" w:fill="auto"/>
            <w:vAlign w:val="center"/>
          </w:tcPr>
          <w:p w14:paraId="66FA1B6F" w14:textId="3DA147B4" w:rsidR="00FC77BB" w:rsidRPr="00FB030E" w:rsidRDefault="00685C44" w:rsidP="00882680">
            <w:pPr>
              <w:keepNext/>
              <w:keepLines/>
              <w:spacing w:before="20" w:after="20"/>
              <w:rPr>
                <w:sz w:val="20"/>
                <w:szCs w:val="20"/>
              </w:rPr>
            </w:pPr>
            <w:r>
              <w:rPr>
                <w:sz w:val="20"/>
                <w:szCs w:val="20"/>
              </w:rPr>
              <w:t>January 1, 2018</w:t>
            </w:r>
          </w:p>
        </w:tc>
      </w:tr>
    </w:tbl>
    <w:p w14:paraId="28A93655" w14:textId="5FBB6FC2" w:rsidR="00FD2C54" w:rsidRDefault="00FD2C54" w:rsidP="0011498C"/>
    <w:p w14:paraId="34BB4696" w14:textId="47B69730" w:rsidR="000F45B1" w:rsidRDefault="00BE35FF" w:rsidP="000F45B1">
      <w:r w:rsidRPr="000F45B1">
        <w:rPr>
          <w:b/>
        </w:rPr>
        <w:t>201</w:t>
      </w:r>
      <w:r>
        <w:rPr>
          <w:b/>
        </w:rPr>
        <w:t>8</w:t>
      </w:r>
      <w:r w:rsidRPr="000F45B1">
        <w:rPr>
          <w:b/>
        </w:rPr>
        <w:t xml:space="preserve"> </w:t>
      </w:r>
      <w:r>
        <w:rPr>
          <w:b/>
        </w:rPr>
        <w:t>DOE</w:t>
      </w:r>
      <w:r w:rsidRPr="000F45B1">
        <w:rPr>
          <w:b/>
        </w:rPr>
        <w:t xml:space="preserve"> </w:t>
      </w:r>
      <w:r w:rsidR="000F45B1" w:rsidRPr="000F45B1">
        <w:rPr>
          <w:b/>
        </w:rPr>
        <w:t>Appliance Efficiency Regulations</w:t>
      </w:r>
      <w:r>
        <w:rPr>
          <w:b/>
        </w:rPr>
        <w:t>.</w:t>
      </w:r>
      <w:r w:rsidR="000F45B1" w:rsidRPr="000F45B1">
        <w:rPr>
          <w:b/>
        </w:rPr>
        <w:t xml:space="preserve"> </w:t>
      </w:r>
      <w:r w:rsidR="000F45B1">
        <w:t xml:space="preserve">The efficiency requirements for air-cooled air conditioning </w:t>
      </w:r>
      <w:r w:rsidR="006825F3">
        <w:t xml:space="preserve">and heat pump </w:t>
      </w:r>
      <w:r w:rsidR="000F45B1">
        <w:t xml:space="preserve">units over 5.4 tons (65 kBtuh) stipulated by </w:t>
      </w:r>
      <w:r>
        <w:t>the DOE</w:t>
      </w:r>
      <w:r w:rsidR="006825F3">
        <w:t xml:space="preserve"> are shown below</w:t>
      </w:r>
      <w:r w:rsidR="000F45B1">
        <w:t>.</w:t>
      </w:r>
    </w:p>
    <w:p w14:paraId="39343B58" w14:textId="5F5C4C48" w:rsidR="008516EB" w:rsidRDefault="008516EB" w:rsidP="00E35893">
      <w:pPr>
        <w:pStyle w:val="Caption"/>
      </w:pPr>
      <w:r w:rsidRPr="002338E2">
        <w:t>DOE Requirements for Large Unitary Equipment</w:t>
      </w:r>
    </w:p>
    <w:tbl>
      <w:tblPr>
        <w:tblW w:w="737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135"/>
        <w:gridCol w:w="1620"/>
        <w:gridCol w:w="1620"/>
      </w:tblGrid>
      <w:tr w:rsidR="00705DEC" w:rsidRPr="002B50AF" w14:paraId="0C591A07" w14:textId="7ECABF9F" w:rsidTr="00B378DE">
        <w:trPr>
          <w:cantSplit/>
          <w:trHeight w:val="20"/>
        </w:trPr>
        <w:tc>
          <w:tcPr>
            <w:tcW w:w="4135" w:type="dxa"/>
            <w:shd w:val="clear" w:color="auto" w:fill="F2F2F2" w:themeFill="background1" w:themeFillShade="F2"/>
            <w:vAlign w:val="bottom"/>
          </w:tcPr>
          <w:p w14:paraId="3A2F3532" w14:textId="4630AD2C" w:rsidR="00705DEC" w:rsidRPr="002B50AF" w:rsidRDefault="00705DEC" w:rsidP="000F45B1">
            <w:pPr>
              <w:keepNext/>
              <w:keepLines/>
              <w:spacing w:before="20" w:after="20"/>
              <w:rPr>
                <w:rFonts w:cs="Calibri Light"/>
                <w:b/>
                <w:sz w:val="20"/>
                <w:szCs w:val="20"/>
              </w:rPr>
            </w:pPr>
            <w:r w:rsidRPr="002B50AF">
              <w:rPr>
                <w:rFonts w:cs="Calibri Light"/>
                <w:b/>
                <w:sz w:val="20"/>
              </w:rPr>
              <w:t>Equipment Type</w:t>
            </w:r>
          </w:p>
        </w:tc>
        <w:tc>
          <w:tcPr>
            <w:tcW w:w="1620" w:type="dxa"/>
            <w:shd w:val="clear" w:color="auto" w:fill="F2F2F2" w:themeFill="background1" w:themeFillShade="F2"/>
            <w:vAlign w:val="bottom"/>
          </w:tcPr>
          <w:p w14:paraId="4018A405" w14:textId="05262BB0" w:rsidR="00705DEC" w:rsidRPr="002B50AF" w:rsidRDefault="00705DEC" w:rsidP="000F45B1">
            <w:pPr>
              <w:keepNext/>
              <w:keepLines/>
              <w:spacing w:before="20" w:after="20"/>
              <w:jc w:val="center"/>
              <w:rPr>
                <w:rFonts w:cs="Calibri Light"/>
                <w:b/>
                <w:sz w:val="20"/>
                <w:szCs w:val="20"/>
              </w:rPr>
            </w:pPr>
            <w:r w:rsidRPr="002B50AF">
              <w:rPr>
                <w:rFonts w:cs="Calibri Light"/>
                <w:b/>
                <w:sz w:val="20"/>
              </w:rPr>
              <w:t xml:space="preserve">Minimum </w:t>
            </w:r>
            <w:r>
              <w:rPr>
                <w:rFonts w:cs="Calibri Light"/>
                <w:b/>
                <w:sz w:val="20"/>
              </w:rPr>
              <w:t>I</w:t>
            </w:r>
            <w:r w:rsidRPr="002B50AF">
              <w:rPr>
                <w:rFonts w:cs="Calibri Light"/>
                <w:b/>
                <w:sz w:val="20"/>
              </w:rPr>
              <w:t>EER</w:t>
            </w:r>
            <w:r>
              <w:rPr>
                <w:rFonts w:cs="Calibri Light"/>
                <w:b/>
                <w:sz w:val="20"/>
              </w:rPr>
              <w:t xml:space="preserve"> </w:t>
            </w:r>
            <w:r w:rsidRPr="008D0C9D">
              <w:rPr>
                <w:rFonts w:cs="Calibri Light"/>
                <w:b/>
                <w:sz w:val="20"/>
                <w:vertAlign w:val="superscript"/>
              </w:rPr>
              <w:t>a</w:t>
            </w:r>
          </w:p>
        </w:tc>
        <w:tc>
          <w:tcPr>
            <w:tcW w:w="1620" w:type="dxa"/>
            <w:shd w:val="clear" w:color="auto" w:fill="F2F2F2" w:themeFill="background1" w:themeFillShade="F2"/>
          </w:tcPr>
          <w:p w14:paraId="43262FEC" w14:textId="4358441B" w:rsidR="00705DEC" w:rsidRPr="002B50AF" w:rsidRDefault="00705DEC" w:rsidP="000F45B1">
            <w:pPr>
              <w:keepNext/>
              <w:keepLines/>
              <w:spacing w:before="20" w:after="20"/>
              <w:jc w:val="center"/>
              <w:rPr>
                <w:rFonts w:cs="Calibri Light"/>
                <w:b/>
                <w:sz w:val="20"/>
              </w:rPr>
            </w:pPr>
            <w:r>
              <w:rPr>
                <w:rFonts w:cs="Calibri Light"/>
                <w:b/>
                <w:sz w:val="20"/>
              </w:rPr>
              <w:t>Minimum COP</w:t>
            </w:r>
          </w:p>
        </w:tc>
      </w:tr>
      <w:tr w:rsidR="00705DEC" w:rsidRPr="002B50AF" w14:paraId="60F44AC1" w14:textId="1AB33D42" w:rsidTr="00B378DE">
        <w:trPr>
          <w:cantSplit/>
          <w:trHeight w:val="20"/>
        </w:trPr>
        <w:tc>
          <w:tcPr>
            <w:tcW w:w="4135" w:type="dxa"/>
            <w:shd w:val="clear" w:color="auto" w:fill="auto"/>
          </w:tcPr>
          <w:p w14:paraId="5C9D2469" w14:textId="77777777" w:rsidR="00705DEC" w:rsidRPr="002B50AF" w:rsidRDefault="00705DEC" w:rsidP="00203BC0">
            <w:pPr>
              <w:autoSpaceDE w:val="0"/>
              <w:autoSpaceDN w:val="0"/>
              <w:adjustRightInd w:val="0"/>
              <w:spacing w:before="0" w:after="0" w:line="240" w:lineRule="auto"/>
              <w:rPr>
                <w:rFonts w:cs="Calibri Light"/>
                <w:sz w:val="20"/>
                <w:szCs w:val="20"/>
              </w:rPr>
            </w:pPr>
            <w:r w:rsidRPr="002B50AF">
              <w:rPr>
                <w:rFonts w:cs="Calibri Light"/>
                <w:sz w:val="20"/>
                <w:szCs w:val="20"/>
              </w:rPr>
              <w:t>Air-cooled unitary air conditioners</w:t>
            </w:r>
          </w:p>
          <w:p w14:paraId="51483996" w14:textId="71569231" w:rsidR="00705DEC" w:rsidRPr="002B50AF" w:rsidRDefault="00705DEC" w:rsidP="00203BC0">
            <w:pPr>
              <w:keepNext/>
              <w:keepLines/>
              <w:spacing w:before="20" w:after="20"/>
              <w:rPr>
                <w:rFonts w:cs="Calibri Light"/>
                <w:sz w:val="20"/>
                <w:szCs w:val="20"/>
              </w:rPr>
            </w:pPr>
            <w:r w:rsidRPr="002B50AF">
              <w:rPr>
                <w:rFonts w:cs="Calibri Light"/>
                <w:sz w:val="20"/>
                <w:szCs w:val="20"/>
              </w:rPr>
              <w:t>≥ 65 and &lt; 135 kBtuh</w:t>
            </w:r>
          </w:p>
        </w:tc>
        <w:tc>
          <w:tcPr>
            <w:tcW w:w="1620" w:type="dxa"/>
            <w:shd w:val="clear" w:color="auto" w:fill="auto"/>
            <w:vAlign w:val="center"/>
          </w:tcPr>
          <w:p w14:paraId="5AD60E6D" w14:textId="07F3A37D" w:rsidR="00705DEC" w:rsidRPr="002B50AF" w:rsidRDefault="00705DEC" w:rsidP="002B50AF">
            <w:pPr>
              <w:keepNext/>
              <w:keepLines/>
              <w:spacing w:before="20" w:after="20"/>
              <w:ind w:right="522"/>
              <w:jc w:val="right"/>
              <w:rPr>
                <w:rFonts w:cs="Calibri Light"/>
                <w:sz w:val="20"/>
                <w:szCs w:val="20"/>
              </w:rPr>
            </w:pPr>
            <w:r w:rsidRPr="002B50AF">
              <w:rPr>
                <w:rFonts w:cs="Calibri Light"/>
                <w:sz w:val="20"/>
                <w:szCs w:val="20"/>
              </w:rPr>
              <w:t>1</w:t>
            </w:r>
            <w:r>
              <w:rPr>
                <w:rFonts w:cs="Calibri Light"/>
                <w:sz w:val="20"/>
                <w:szCs w:val="20"/>
              </w:rPr>
              <w:t>2</w:t>
            </w:r>
            <w:r w:rsidRPr="002B50AF">
              <w:rPr>
                <w:rFonts w:cs="Calibri Light"/>
                <w:sz w:val="20"/>
                <w:szCs w:val="20"/>
              </w:rPr>
              <w:t>.</w:t>
            </w:r>
            <w:r>
              <w:rPr>
                <w:rFonts w:cs="Calibri Light"/>
                <w:sz w:val="20"/>
                <w:szCs w:val="20"/>
              </w:rPr>
              <w:t>7</w:t>
            </w:r>
          </w:p>
        </w:tc>
        <w:tc>
          <w:tcPr>
            <w:tcW w:w="1620" w:type="dxa"/>
            <w:vAlign w:val="center"/>
          </w:tcPr>
          <w:p w14:paraId="6941CADD" w14:textId="10762E49" w:rsidR="00705DEC" w:rsidRPr="002B50AF" w:rsidRDefault="006B7A3B" w:rsidP="00B378DE">
            <w:pPr>
              <w:keepNext/>
              <w:keepLines/>
              <w:spacing w:before="20" w:after="20"/>
              <w:ind w:right="522"/>
              <w:jc w:val="right"/>
              <w:rPr>
                <w:rFonts w:cs="Calibri Light"/>
                <w:sz w:val="20"/>
                <w:szCs w:val="20"/>
              </w:rPr>
            </w:pPr>
            <w:r>
              <w:rPr>
                <w:rFonts w:cs="Calibri Light"/>
                <w:sz w:val="20"/>
                <w:szCs w:val="20"/>
              </w:rPr>
              <w:t>N/A</w:t>
            </w:r>
          </w:p>
        </w:tc>
      </w:tr>
      <w:tr w:rsidR="00705DEC" w:rsidRPr="002B50AF" w14:paraId="120FDAE5" w14:textId="1CDC2A0E" w:rsidTr="00B378DE">
        <w:trPr>
          <w:cantSplit/>
          <w:trHeight w:val="20"/>
        </w:trPr>
        <w:tc>
          <w:tcPr>
            <w:tcW w:w="4135" w:type="dxa"/>
            <w:shd w:val="clear" w:color="auto" w:fill="auto"/>
          </w:tcPr>
          <w:p w14:paraId="2FAAD3B2" w14:textId="77777777" w:rsidR="00705DEC" w:rsidRPr="002B50AF" w:rsidRDefault="00705DEC" w:rsidP="00203BC0">
            <w:pPr>
              <w:autoSpaceDE w:val="0"/>
              <w:autoSpaceDN w:val="0"/>
              <w:adjustRightInd w:val="0"/>
              <w:spacing w:before="0" w:after="0" w:line="240" w:lineRule="auto"/>
              <w:rPr>
                <w:rFonts w:cs="Calibri Light"/>
                <w:sz w:val="20"/>
                <w:szCs w:val="20"/>
              </w:rPr>
            </w:pPr>
            <w:r w:rsidRPr="002B50AF">
              <w:rPr>
                <w:rFonts w:cs="Calibri Light"/>
                <w:sz w:val="20"/>
                <w:szCs w:val="20"/>
              </w:rPr>
              <w:t>Air-cooled unitary air conditioners</w:t>
            </w:r>
          </w:p>
          <w:p w14:paraId="4C4CCA55" w14:textId="10C04401" w:rsidR="00705DEC" w:rsidRPr="002B50AF" w:rsidRDefault="00705DEC" w:rsidP="00203BC0">
            <w:pPr>
              <w:keepNext/>
              <w:keepLines/>
              <w:spacing w:before="20" w:after="20"/>
              <w:rPr>
                <w:rFonts w:cs="Calibri Light"/>
                <w:sz w:val="20"/>
                <w:szCs w:val="20"/>
              </w:rPr>
            </w:pPr>
            <w:r w:rsidRPr="002B50AF">
              <w:rPr>
                <w:rFonts w:cs="Calibri Light"/>
                <w:sz w:val="20"/>
                <w:szCs w:val="20"/>
              </w:rPr>
              <w:t>≥ 135 and &lt; 240 kBtuh</w:t>
            </w:r>
          </w:p>
        </w:tc>
        <w:tc>
          <w:tcPr>
            <w:tcW w:w="1620" w:type="dxa"/>
            <w:shd w:val="clear" w:color="auto" w:fill="auto"/>
            <w:vAlign w:val="center"/>
          </w:tcPr>
          <w:p w14:paraId="38FB0C33" w14:textId="5ACF044A" w:rsidR="00705DEC" w:rsidRPr="002B50AF" w:rsidRDefault="00705DEC" w:rsidP="002B50AF">
            <w:pPr>
              <w:keepNext/>
              <w:keepLines/>
              <w:spacing w:before="20" w:after="20"/>
              <w:ind w:right="522"/>
              <w:jc w:val="right"/>
              <w:rPr>
                <w:rFonts w:cs="Calibri Light"/>
                <w:sz w:val="20"/>
                <w:szCs w:val="20"/>
              </w:rPr>
            </w:pPr>
            <w:r w:rsidRPr="002B50AF">
              <w:rPr>
                <w:rFonts w:cs="Calibri Light"/>
                <w:sz w:val="20"/>
                <w:szCs w:val="20"/>
              </w:rPr>
              <w:t>1</w:t>
            </w:r>
            <w:r>
              <w:rPr>
                <w:rFonts w:cs="Calibri Light"/>
                <w:sz w:val="20"/>
                <w:szCs w:val="20"/>
              </w:rPr>
              <w:t>2</w:t>
            </w:r>
            <w:r w:rsidRPr="002B50AF">
              <w:rPr>
                <w:rFonts w:cs="Calibri Light"/>
                <w:sz w:val="20"/>
                <w:szCs w:val="20"/>
              </w:rPr>
              <w:t>.</w:t>
            </w:r>
            <w:r>
              <w:rPr>
                <w:rFonts w:cs="Calibri Light"/>
                <w:sz w:val="20"/>
                <w:szCs w:val="20"/>
              </w:rPr>
              <w:t>2</w:t>
            </w:r>
          </w:p>
        </w:tc>
        <w:tc>
          <w:tcPr>
            <w:tcW w:w="1620" w:type="dxa"/>
            <w:vAlign w:val="center"/>
          </w:tcPr>
          <w:p w14:paraId="454609B1" w14:textId="6A47C5B7" w:rsidR="00705DEC" w:rsidRPr="002B50AF" w:rsidRDefault="006B7A3B" w:rsidP="00B378DE">
            <w:pPr>
              <w:keepNext/>
              <w:keepLines/>
              <w:spacing w:before="20" w:after="20"/>
              <w:ind w:right="522"/>
              <w:jc w:val="right"/>
              <w:rPr>
                <w:rFonts w:cs="Calibri Light"/>
                <w:sz w:val="20"/>
                <w:szCs w:val="20"/>
              </w:rPr>
            </w:pPr>
            <w:r>
              <w:rPr>
                <w:rFonts w:cs="Calibri Light"/>
                <w:sz w:val="20"/>
                <w:szCs w:val="20"/>
              </w:rPr>
              <w:t>N/A</w:t>
            </w:r>
          </w:p>
        </w:tc>
      </w:tr>
      <w:tr w:rsidR="00705DEC" w:rsidRPr="002B50AF" w14:paraId="6F53BBB9" w14:textId="563BA73B" w:rsidTr="00B378DE">
        <w:trPr>
          <w:cantSplit/>
          <w:trHeight w:val="20"/>
        </w:trPr>
        <w:tc>
          <w:tcPr>
            <w:tcW w:w="41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6952C136" w14:textId="77777777" w:rsidR="00705DEC" w:rsidRPr="002B50AF" w:rsidRDefault="00705DEC" w:rsidP="00203BC0">
            <w:pPr>
              <w:autoSpaceDE w:val="0"/>
              <w:autoSpaceDN w:val="0"/>
              <w:adjustRightInd w:val="0"/>
              <w:spacing w:before="0" w:after="0" w:line="240" w:lineRule="auto"/>
              <w:rPr>
                <w:rFonts w:cs="Calibri Light"/>
                <w:sz w:val="20"/>
                <w:szCs w:val="20"/>
              </w:rPr>
            </w:pPr>
            <w:r w:rsidRPr="002B50AF">
              <w:rPr>
                <w:rFonts w:cs="Calibri Light"/>
                <w:sz w:val="20"/>
                <w:szCs w:val="20"/>
              </w:rPr>
              <w:t>Air-cooled unitary air conditioners</w:t>
            </w:r>
          </w:p>
          <w:p w14:paraId="330F5CE0" w14:textId="772F1FA7" w:rsidR="00705DEC" w:rsidRPr="002B50AF" w:rsidRDefault="00705DEC" w:rsidP="00203BC0">
            <w:pPr>
              <w:keepNext/>
              <w:keepLines/>
              <w:spacing w:before="20" w:after="20"/>
              <w:rPr>
                <w:rFonts w:cs="Calibri Light"/>
                <w:sz w:val="20"/>
                <w:szCs w:val="20"/>
              </w:rPr>
            </w:pPr>
            <w:r w:rsidRPr="002B50AF">
              <w:rPr>
                <w:rFonts w:cs="Calibri Light"/>
                <w:sz w:val="20"/>
                <w:szCs w:val="20"/>
              </w:rPr>
              <w:t>≥ 240 and &lt; 760 kBtuh</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F6ACD52" w14:textId="52E47CB3" w:rsidR="00705DEC" w:rsidRPr="002B50AF" w:rsidRDefault="00705DEC" w:rsidP="002B50AF">
            <w:pPr>
              <w:keepNext/>
              <w:keepLines/>
              <w:spacing w:before="20" w:after="20"/>
              <w:ind w:right="522"/>
              <w:jc w:val="right"/>
              <w:rPr>
                <w:rFonts w:cs="Calibri Light"/>
                <w:sz w:val="20"/>
                <w:szCs w:val="20"/>
              </w:rPr>
            </w:pPr>
            <w:r>
              <w:rPr>
                <w:rFonts w:cs="Calibri Light"/>
                <w:sz w:val="20"/>
                <w:szCs w:val="20"/>
              </w:rPr>
              <w:t>11.4</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98B7346" w14:textId="14B87279" w:rsidR="00705DEC" w:rsidRDefault="006B7A3B" w:rsidP="00B378DE">
            <w:pPr>
              <w:keepNext/>
              <w:keepLines/>
              <w:spacing w:before="20" w:after="20"/>
              <w:ind w:right="522"/>
              <w:jc w:val="right"/>
              <w:rPr>
                <w:rFonts w:cs="Calibri Light"/>
                <w:sz w:val="20"/>
                <w:szCs w:val="20"/>
              </w:rPr>
            </w:pPr>
            <w:r>
              <w:rPr>
                <w:rFonts w:cs="Calibri Light"/>
                <w:sz w:val="20"/>
                <w:szCs w:val="20"/>
              </w:rPr>
              <w:t>N/A</w:t>
            </w:r>
          </w:p>
        </w:tc>
      </w:tr>
      <w:tr w:rsidR="00705DEC" w:rsidRPr="002B50AF" w14:paraId="5B4C12F8" w14:textId="7032E737" w:rsidTr="00B378DE">
        <w:trPr>
          <w:cantSplit/>
          <w:trHeight w:val="20"/>
        </w:trPr>
        <w:tc>
          <w:tcPr>
            <w:tcW w:w="41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159EDF38" w14:textId="77777777" w:rsidR="00705DEC" w:rsidRPr="002B50AF" w:rsidRDefault="00705DEC" w:rsidP="002A3C51">
            <w:pPr>
              <w:autoSpaceDE w:val="0"/>
              <w:autoSpaceDN w:val="0"/>
              <w:adjustRightInd w:val="0"/>
              <w:spacing w:before="0" w:after="0" w:line="240" w:lineRule="auto"/>
              <w:rPr>
                <w:rFonts w:cs="Calibri Light"/>
                <w:sz w:val="20"/>
                <w:szCs w:val="20"/>
              </w:rPr>
            </w:pPr>
            <w:r w:rsidRPr="002B50AF">
              <w:rPr>
                <w:rFonts w:cs="Calibri Light"/>
                <w:sz w:val="20"/>
                <w:szCs w:val="20"/>
              </w:rPr>
              <w:t>Air-cooled unitary heat pumps in cooling mode</w:t>
            </w:r>
          </w:p>
          <w:p w14:paraId="0144ADA8" w14:textId="0AE61F9E" w:rsidR="00705DEC" w:rsidRPr="002B50AF" w:rsidRDefault="00705DEC" w:rsidP="002A3C51">
            <w:pPr>
              <w:autoSpaceDE w:val="0"/>
              <w:autoSpaceDN w:val="0"/>
              <w:adjustRightInd w:val="0"/>
              <w:spacing w:before="0" w:after="0" w:line="240" w:lineRule="auto"/>
              <w:rPr>
                <w:rFonts w:cs="Calibri Light"/>
                <w:sz w:val="20"/>
                <w:szCs w:val="20"/>
              </w:rPr>
            </w:pPr>
            <w:r w:rsidRPr="002B50AF">
              <w:rPr>
                <w:rFonts w:cs="Calibri Light"/>
                <w:sz w:val="20"/>
                <w:szCs w:val="20"/>
              </w:rPr>
              <w:t>≥ 65 and &lt; 135 kBtuh</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2C6AF9E" w14:textId="3957B3AF" w:rsidR="00705DEC" w:rsidRPr="002B50AF" w:rsidRDefault="00705DEC" w:rsidP="002A3C51">
            <w:pPr>
              <w:keepNext/>
              <w:keepLines/>
              <w:spacing w:before="20" w:after="20"/>
              <w:ind w:right="522"/>
              <w:jc w:val="right"/>
              <w:rPr>
                <w:rFonts w:cs="Calibri Light"/>
                <w:sz w:val="20"/>
                <w:szCs w:val="20"/>
              </w:rPr>
            </w:pPr>
            <w:r w:rsidRPr="002B50AF">
              <w:rPr>
                <w:rFonts w:cs="Calibri Light"/>
                <w:sz w:val="20"/>
                <w:szCs w:val="20"/>
              </w:rPr>
              <w:t>1</w:t>
            </w:r>
            <w:r>
              <w:rPr>
                <w:rFonts w:cs="Calibri Light"/>
                <w:sz w:val="20"/>
                <w:szCs w:val="20"/>
              </w:rPr>
              <w:t>2</w:t>
            </w:r>
            <w:r w:rsidRPr="002B50AF">
              <w:rPr>
                <w:rFonts w:cs="Calibri Light"/>
                <w:sz w:val="20"/>
                <w:szCs w:val="20"/>
              </w:rPr>
              <w:t>.</w:t>
            </w:r>
            <w:r>
              <w:rPr>
                <w:rFonts w:cs="Calibri Light"/>
                <w:sz w:val="20"/>
                <w:szCs w:val="20"/>
              </w:rPr>
              <w:t>0</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BDD1433" w14:textId="7BA4BF16" w:rsidR="00705DEC" w:rsidRPr="002B50AF" w:rsidRDefault="00705DEC" w:rsidP="00B378DE">
            <w:pPr>
              <w:keepNext/>
              <w:keepLines/>
              <w:spacing w:before="20" w:after="20"/>
              <w:ind w:right="522"/>
              <w:jc w:val="right"/>
              <w:rPr>
                <w:rFonts w:cs="Calibri Light"/>
                <w:sz w:val="20"/>
                <w:szCs w:val="20"/>
              </w:rPr>
            </w:pPr>
            <w:r>
              <w:rPr>
                <w:rFonts w:cs="Calibri Light"/>
                <w:sz w:val="20"/>
                <w:szCs w:val="20"/>
              </w:rPr>
              <w:t>3.</w:t>
            </w:r>
            <w:r w:rsidR="002A30D5">
              <w:rPr>
                <w:rFonts w:cs="Calibri Light"/>
                <w:sz w:val="20"/>
                <w:szCs w:val="20"/>
              </w:rPr>
              <w:t>3</w:t>
            </w:r>
          </w:p>
        </w:tc>
      </w:tr>
      <w:tr w:rsidR="00705DEC" w:rsidRPr="002B50AF" w14:paraId="379B4C65" w14:textId="323A5282" w:rsidTr="00B378DE">
        <w:trPr>
          <w:cantSplit/>
          <w:trHeight w:val="20"/>
        </w:trPr>
        <w:tc>
          <w:tcPr>
            <w:tcW w:w="41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D3DB305" w14:textId="77777777" w:rsidR="00705DEC" w:rsidRPr="002B50AF" w:rsidRDefault="00705DEC" w:rsidP="002A3C51">
            <w:pPr>
              <w:autoSpaceDE w:val="0"/>
              <w:autoSpaceDN w:val="0"/>
              <w:adjustRightInd w:val="0"/>
              <w:spacing w:before="0" w:after="0" w:line="240" w:lineRule="auto"/>
              <w:rPr>
                <w:rFonts w:cs="Calibri Light"/>
                <w:sz w:val="20"/>
                <w:szCs w:val="20"/>
              </w:rPr>
            </w:pPr>
            <w:r w:rsidRPr="002B50AF">
              <w:rPr>
                <w:rFonts w:cs="Calibri Light"/>
                <w:sz w:val="20"/>
                <w:szCs w:val="20"/>
              </w:rPr>
              <w:t>Air-cooled unitary heat pumps in cooling mode</w:t>
            </w:r>
          </w:p>
          <w:p w14:paraId="10809FD8" w14:textId="1309866F" w:rsidR="00705DEC" w:rsidRPr="002B50AF" w:rsidRDefault="00705DEC" w:rsidP="002A3C51">
            <w:pPr>
              <w:autoSpaceDE w:val="0"/>
              <w:autoSpaceDN w:val="0"/>
              <w:adjustRightInd w:val="0"/>
              <w:spacing w:before="0" w:after="0" w:line="240" w:lineRule="auto"/>
              <w:rPr>
                <w:rFonts w:cs="Calibri Light"/>
                <w:sz w:val="20"/>
                <w:szCs w:val="20"/>
              </w:rPr>
            </w:pPr>
            <w:r w:rsidRPr="002B50AF">
              <w:rPr>
                <w:rFonts w:cs="Calibri Light"/>
                <w:sz w:val="20"/>
                <w:szCs w:val="20"/>
              </w:rPr>
              <w:t>≥ 135 and &lt; 240 kBtuh</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180DC97" w14:textId="6F770BF7" w:rsidR="00705DEC" w:rsidRPr="002B50AF" w:rsidRDefault="00705DEC" w:rsidP="002A3C51">
            <w:pPr>
              <w:keepNext/>
              <w:keepLines/>
              <w:spacing w:before="20" w:after="20"/>
              <w:ind w:right="522"/>
              <w:jc w:val="right"/>
              <w:rPr>
                <w:rFonts w:cs="Calibri Light"/>
                <w:sz w:val="20"/>
                <w:szCs w:val="20"/>
              </w:rPr>
            </w:pPr>
            <w:r w:rsidRPr="002B50AF">
              <w:rPr>
                <w:rFonts w:cs="Calibri Light"/>
                <w:sz w:val="20"/>
                <w:szCs w:val="20"/>
              </w:rPr>
              <w:t>1</w:t>
            </w:r>
            <w:r>
              <w:rPr>
                <w:rFonts w:cs="Calibri Light"/>
                <w:sz w:val="20"/>
                <w:szCs w:val="20"/>
              </w:rPr>
              <w:t>1</w:t>
            </w:r>
            <w:r w:rsidRPr="002B50AF">
              <w:rPr>
                <w:rFonts w:cs="Calibri Light"/>
                <w:sz w:val="20"/>
                <w:szCs w:val="20"/>
              </w:rPr>
              <w:t>.4</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27C01D9" w14:textId="4246E200" w:rsidR="00705DEC" w:rsidRPr="002B50AF" w:rsidRDefault="002A30D5" w:rsidP="00B378DE">
            <w:pPr>
              <w:keepNext/>
              <w:keepLines/>
              <w:spacing w:before="20" w:after="20"/>
              <w:ind w:right="522"/>
              <w:jc w:val="right"/>
              <w:rPr>
                <w:rFonts w:cs="Calibri Light"/>
                <w:sz w:val="20"/>
                <w:szCs w:val="20"/>
              </w:rPr>
            </w:pPr>
            <w:r>
              <w:rPr>
                <w:rFonts w:cs="Calibri Light"/>
                <w:sz w:val="20"/>
                <w:szCs w:val="20"/>
              </w:rPr>
              <w:t>3.2</w:t>
            </w:r>
          </w:p>
        </w:tc>
      </w:tr>
      <w:tr w:rsidR="00705DEC" w:rsidRPr="002B50AF" w14:paraId="4B8555E8" w14:textId="3BA006DB" w:rsidTr="00B378DE">
        <w:trPr>
          <w:cantSplit/>
          <w:trHeight w:val="20"/>
        </w:trPr>
        <w:tc>
          <w:tcPr>
            <w:tcW w:w="41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5731DB9C" w14:textId="77777777" w:rsidR="00705DEC" w:rsidRPr="002B50AF" w:rsidRDefault="00705DEC" w:rsidP="002A3C51">
            <w:pPr>
              <w:autoSpaceDE w:val="0"/>
              <w:autoSpaceDN w:val="0"/>
              <w:adjustRightInd w:val="0"/>
              <w:spacing w:before="0" w:after="0" w:line="240" w:lineRule="auto"/>
              <w:rPr>
                <w:rFonts w:cs="Calibri Light"/>
                <w:sz w:val="20"/>
                <w:szCs w:val="20"/>
              </w:rPr>
            </w:pPr>
            <w:r w:rsidRPr="002B50AF">
              <w:rPr>
                <w:rFonts w:cs="Calibri Light"/>
                <w:sz w:val="20"/>
                <w:szCs w:val="20"/>
              </w:rPr>
              <w:t>Air-cooled unitary heat pumps in cooling mode</w:t>
            </w:r>
          </w:p>
          <w:p w14:paraId="5BCE99BA" w14:textId="2EC2E2D7" w:rsidR="00705DEC" w:rsidRPr="002B50AF" w:rsidRDefault="00705DEC" w:rsidP="002A3C51">
            <w:pPr>
              <w:autoSpaceDE w:val="0"/>
              <w:autoSpaceDN w:val="0"/>
              <w:adjustRightInd w:val="0"/>
              <w:spacing w:before="0" w:after="0" w:line="240" w:lineRule="auto"/>
              <w:rPr>
                <w:rFonts w:cs="Calibri Light"/>
                <w:sz w:val="20"/>
                <w:szCs w:val="20"/>
              </w:rPr>
            </w:pPr>
            <w:r w:rsidRPr="002B50AF">
              <w:rPr>
                <w:rFonts w:cs="Calibri Light"/>
                <w:sz w:val="20"/>
                <w:szCs w:val="20"/>
              </w:rPr>
              <w:t>≥ 240 kBtuh and &lt; 760 kBtuh</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FEC6903" w14:textId="05850C8E" w:rsidR="00705DEC" w:rsidRPr="002B50AF" w:rsidRDefault="00705DEC" w:rsidP="002A3C51">
            <w:pPr>
              <w:keepNext/>
              <w:keepLines/>
              <w:spacing w:before="20" w:after="20"/>
              <w:ind w:right="522"/>
              <w:jc w:val="right"/>
              <w:rPr>
                <w:rFonts w:cs="Calibri Light"/>
                <w:sz w:val="20"/>
                <w:szCs w:val="20"/>
              </w:rPr>
            </w:pPr>
            <w:r>
              <w:rPr>
                <w:rFonts w:cs="Calibri Light"/>
                <w:sz w:val="20"/>
                <w:szCs w:val="20"/>
              </w:rPr>
              <w:t>10.4</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533E10B" w14:textId="6F225FBB" w:rsidR="00705DEC" w:rsidRDefault="002A30D5" w:rsidP="00B378DE">
            <w:pPr>
              <w:keepNext/>
              <w:keepLines/>
              <w:spacing w:before="20" w:after="20"/>
              <w:ind w:right="522"/>
              <w:jc w:val="right"/>
              <w:rPr>
                <w:rFonts w:cs="Calibri Light"/>
                <w:sz w:val="20"/>
                <w:szCs w:val="20"/>
              </w:rPr>
            </w:pPr>
            <w:r>
              <w:rPr>
                <w:rFonts w:cs="Calibri Light"/>
                <w:sz w:val="20"/>
                <w:szCs w:val="20"/>
              </w:rPr>
              <w:t>3.2</w:t>
            </w:r>
          </w:p>
        </w:tc>
      </w:tr>
    </w:tbl>
    <w:p w14:paraId="027593A3" w14:textId="678A4E76" w:rsidR="000F45B1" w:rsidRPr="007A58EA" w:rsidRDefault="00232B04" w:rsidP="0011498C">
      <w:pPr>
        <w:rPr>
          <w:sz w:val="20"/>
        </w:rPr>
      </w:pPr>
      <w:r w:rsidRPr="007A58EA">
        <w:rPr>
          <w:sz w:val="20"/>
          <w:vertAlign w:val="superscript"/>
        </w:rPr>
        <w:t>a</w:t>
      </w:r>
      <w:r w:rsidRPr="007A58EA">
        <w:rPr>
          <w:sz w:val="20"/>
        </w:rPr>
        <w:t xml:space="preserve"> </w:t>
      </w:r>
      <w:r w:rsidR="0088682E" w:rsidRPr="007A58EA">
        <w:rPr>
          <w:sz w:val="20"/>
        </w:rPr>
        <w:t>All IEER values shown are for “</w:t>
      </w:r>
      <w:r w:rsidR="00E55DB3" w:rsidRPr="007A58EA">
        <w:rPr>
          <w:sz w:val="20"/>
        </w:rPr>
        <w:t>all other types of heating”</w:t>
      </w:r>
      <w:r w:rsidR="005D725F">
        <w:rPr>
          <w:sz w:val="20"/>
        </w:rPr>
        <w:t xml:space="preserve"> (i.e., gas packs),</w:t>
      </w:r>
      <w:r w:rsidR="009A4100" w:rsidRPr="007A58EA">
        <w:rPr>
          <w:sz w:val="20"/>
        </w:rPr>
        <w:t xml:space="preserve"> as opposed to “electric resistance heating or no heating.”</w:t>
      </w:r>
      <w:r w:rsidRPr="007A58EA">
        <w:rPr>
          <w:sz w:val="20"/>
        </w:rPr>
        <w:t xml:space="preserve"> </w:t>
      </w:r>
    </w:p>
    <w:p w14:paraId="1A004EC4" w14:textId="77777777" w:rsidR="00232B04" w:rsidRDefault="00232B04" w:rsidP="0011498C"/>
    <w:p w14:paraId="2424A003" w14:textId="59D0D8ED" w:rsidR="00882680" w:rsidRDefault="00882680" w:rsidP="00882680">
      <w:r w:rsidRPr="00882680">
        <w:rPr>
          <w:b/>
        </w:rPr>
        <w:t>California Building Energy Efficiency Standards (Title 24).</w:t>
      </w:r>
      <w:r w:rsidRPr="00882680">
        <w:t xml:space="preserve"> </w:t>
      </w:r>
      <w:r>
        <w:t>These measure</w:t>
      </w:r>
      <w:r w:rsidR="00C16C6F">
        <w:t xml:space="preserve"> </w:t>
      </w:r>
      <w:r w:rsidR="003570F5">
        <w:t>offerings</w:t>
      </w:r>
      <w:r>
        <w:t xml:space="preserve"> fall under Title 24 of the California Building Energy Efficiency Standards, which </w:t>
      </w:r>
      <w:r w:rsidR="00C16C6F">
        <w:t xml:space="preserve">establishes the </w:t>
      </w:r>
      <w:r>
        <w:t>minimum</w:t>
      </w:r>
      <w:r w:rsidR="00C16C6F">
        <w:t xml:space="preserve"> efficiency</w:t>
      </w:r>
      <w:r>
        <w:t xml:space="preserve"> ratings </w:t>
      </w:r>
      <w:r w:rsidR="00C16C6F">
        <w:t xml:space="preserve">in </w:t>
      </w:r>
      <w:r>
        <w:t>both EER and IEER</w:t>
      </w:r>
      <w:r w:rsidR="00C16C6F">
        <w:t>,</w:t>
      </w:r>
      <w:r>
        <w:t xml:space="preserve"> as specified below.</w:t>
      </w:r>
    </w:p>
    <w:p w14:paraId="2CC604C9" w14:textId="2CB0B2B8" w:rsidR="00C01E6F" w:rsidRDefault="00C01E6F" w:rsidP="00C60E6F">
      <w:pPr>
        <w:pStyle w:val="Caption"/>
      </w:pPr>
      <w:r>
        <w:t>Title 24 Requirements for Large Unitary Equipment</w:t>
      </w:r>
    </w:p>
    <w:tbl>
      <w:tblPr>
        <w:tblW w:w="899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135"/>
        <w:gridCol w:w="1620"/>
        <w:gridCol w:w="1620"/>
        <w:gridCol w:w="1620"/>
      </w:tblGrid>
      <w:tr w:rsidR="00705DEC" w:rsidRPr="002B50AF" w14:paraId="5AD59B7C" w14:textId="4B390433" w:rsidTr="00B378DE">
        <w:trPr>
          <w:cantSplit/>
          <w:trHeight w:val="20"/>
        </w:trPr>
        <w:tc>
          <w:tcPr>
            <w:tcW w:w="4135" w:type="dxa"/>
            <w:shd w:val="clear" w:color="auto" w:fill="F2F2F2" w:themeFill="background1" w:themeFillShade="F2"/>
            <w:vAlign w:val="bottom"/>
          </w:tcPr>
          <w:p w14:paraId="43B2710E" w14:textId="3D582979" w:rsidR="00705DEC" w:rsidRPr="002B50AF" w:rsidRDefault="00705DEC" w:rsidP="002C78E9">
            <w:pPr>
              <w:keepNext/>
              <w:keepLines/>
              <w:spacing w:before="20" w:after="20"/>
              <w:rPr>
                <w:rFonts w:cs="Calibri Light"/>
                <w:b/>
                <w:sz w:val="20"/>
                <w:szCs w:val="20"/>
              </w:rPr>
            </w:pPr>
            <w:r w:rsidRPr="002B50AF">
              <w:rPr>
                <w:rFonts w:cs="Calibri Light"/>
                <w:b/>
                <w:sz w:val="20"/>
              </w:rPr>
              <w:t xml:space="preserve">Equipment </w:t>
            </w:r>
            <w:r>
              <w:rPr>
                <w:rFonts w:cs="Calibri Light"/>
                <w:b/>
                <w:sz w:val="20"/>
              </w:rPr>
              <w:t>Description (Capacity Range)</w:t>
            </w:r>
          </w:p>
        </w:tc>
        <w:tc>
          <w:tcPr>
            <w:tcW w:w="1620" w:type="dxa"/>
            <w:shd w:val="clear" w:color="auto" w:fill="F2F2F2" w:themeFill="background1" w:themeFillShade="F2"/>
            <w:vAlign w:val="bottom"/>
          </w:tcPr>
          <w:p w14:paraId="2FA7FE5A" w14:textId="04B3AECC" w:rsidR="00705DEC" w:rsidRPr="002B50AF" w:rsidRDefault="00705DEC" w:rsidP="002C78E9">
            <w:pPr>
              <w:keepNext/>
              <w:keepLines/>
              <w:spacing w:before="20" w:after="20"/>
              <w:jc w:val="center"/>
              <w:rPr>
                <w:rFonts w:cs="Calibri Light"/>
                <w:b/>
                <w:sz w:val="20"/>
                <w:szCs w:val="20"/>
              </w:rPr>
            </w:pPr>
            <w:r w:rsidRPr="002B50AF">
              <w:rPr>
                <w:rFonts w:cs="Calibri Light"/>
                <w:b/>
                <w:sz w:val="20"/>
              </w:rPr>
              <w:t>Minimum EER</w:t>
            </w:r>
            <w:r>
              <w:rPr>
                <w:rFonts w:cs="Calibri Light"/>
                <w:b/>
                <w:sz w:val="20"/>
              </w:rPr>
              <w:t xml:space="preserve"> </w:t>
            </w:r>
            <w:r w:rsidRPr="008D0C9D">
              <w:rPr>
                <w:rFonts w:cs="Calibri Light"/>
                <w:b/>
                <w:sz w:val="20"/>
                <w:vertAlign w:val="superscript"/>
              </w:rPr>
              <w:t>a</w:t>
            </w:r>
          </w:p>
        </w:tc>
        <w:tc>
          <w:tcPr>
            <w:tcW w:w="1620" w:type="dxa"/>
            <w:shd w:val="clear" w:color="auto" w:fill="F2F2F2" w:themeFill="background1" w:themeFillShade="F2"/>
          </w:tcPr>
          <w:p w14:paraId="59EF6B04" w14:textId="7C457882" w:rsidR="00705DEC" w:rsidRPr="002B50AF" w:rsidRDefault="00705DEC" w:rsidP="002C78E9">
            <w:pPr>
              <w:keepNext/>
              <w:keepLines/>
              <w:spacing w:before="20" w:after="20"/>
              <w:jc w:val="center"/>
              <w:rPr>
                <w:rFonts w:cs="Calibri Light"/>
                <w:b/>
                <w:sz w:val="20"/>
              </w:rPr>
            </w:pPr>
            <w:r>
              <w:rPr>
                <w:rFonts w:cs="Calibri Light"/>
                <w:b/>
                <w:sz w:val="20"/>
              </w:rPr>
              <w:t xml:space="preserve">Minimum IEER </w:t>
            </w:r>
            <w:r w:rsidRPr="008D0C9D">
              <w:rPr>
                <w:rFonts w:cs="Calibri Light"/>
                <w:b/>
                <w:sz w:val="20"/>
                <w:vertAlign w:val="superscript"/>
              </w:rPr>
              <w:t>a</w:t>
            </w:r>
          </w:p>
        </w:tc>
        <w:tc>
          <w:tcPr>
            <w:tcW w:w="1620" w:type="dxa"/>
            <w:shd w:val="clear" w:color="auto" w:fill="F2F2F2" w:themeFill="background1" w:themeFillShade="F2"/>
          </w:tcPr>
          <w:p w14:paraId="6562E4CD" w14:textId="4D7CDA5D" w:rsidR="00705DEC" w:rsidRDefault="002A30D5" w:rsidP="002C78E9">
            <w:pPr>
              <w:keepNext/>
              <w:keepLines/>
              <w:spacing w:before="20" w:after="20"/>
              <w:jc w:val="center"/>
              <w:rPr>
                <w:rFonts w:cs="Calibri Light"/>
                <w:b/>
                <w:sz w:val="20"/>
              </w:rPr>
            </w:pPr>
            <w:r>
              <w:rPr>
                <w:rFonts w:cs="Calibri Light"/>
                <w:b/>
                <w:sz w:val="20"/>
              </w:rPr>
              <w:t>Minimum COP</w:t>
            </w:r>
          </w:p>
        </w:tc>
      </w:tr>
      <w:tr w:rsidR="00705DEC" w:rsidRPr="002B50AF" w14:paraId="0B887262" w14:textId="74FAB2BC" w:rsidTr="00B378DE">
        <w:trPr>
          <w:cantSplit/>
          <w:trHeight w:val="20"/>
        </w:trPr>
        <w:tc>
          <w:tcPr>
            <w:tcW w:w="4135" w:type="dxa"/>
            <w:shd w:val="clear" w:color="auto" w:fill="auto"/>
          </w:tcPr>
          <w:p w14:paraId="4FBAC740" w14:textId="77777777" w:rsidR="00705DEC" w:rsidRPr="002B50AF" w:rsidRDefault="00705DEC" w:rsidP="003E32D0">
            <w:pPr>
              <w:autoSpaceDE w:val="0"/>
              <w:autoSpaceDN w:val="0"/>
              <w:adjustRightInd w:val="0"/>
              <w:spacing w:before="0" w:after="0" w:line="240" w:lineRule="auto"/>
              <w:rPr>
                <w:rFonts w:cs="Calibri Light"/>
                <w:sz w:val="20"/>
                <w:szCs w:val="20"/>
              </w:rPr>
            </w:pPr>
            <w:r w:rsidRPr="002B50AF">
              <w:rPr>
                <w:rFonts w:cs="Calibri Light"/>
                <w:sz w:val="20"/>
                <w:szCs w:val="20"/>
              </w:rPr>
              <w:t>Air-cooled unitary air conditioners</w:t>
            </w:r>
          </w:p>
          <w:p w14:paraId="4B7ACEF8" w14:textId="77777777" w:rsidR="00705DEC" w:rsidRPr="002B50AF" w:rsidRDefault="00705DEC" w:rsidP="003E32D0">
            <w:pPr>
              <w:keepNext/>
              <w:keepLines/>
              <w:spacing w:before="20" w:after="20"/>
              <w:rPr>
                <w:rFonts w:cs="Calibri Light"/>
                <w:sz w:val="20"/>
                <w:szCs w:val="20"/>
              </w:rPr>
            </w:pPr>
            <w:r w:rsidRPr="002B50AF">
              <w:rPr>
                <w:rFonts w:cs="Calibri Light"/>
                <w:sz w:val="20"/>
                <w:szCs w:val="20"/>
              </w:rPr>
              <w:t>≥ 65 and &lt; 135 kBtuh</w:t>
            </w:r>
          </w:p>
        </w:tc>
        <w:tc>
          <w:tcPr>
            <w:tcW w:w="1620" w:type="dxa"/>
            <w:shd w:val="clear" w:color="auto" w:fill="auto"/>
            <w:vAlign w:val="center"/>
          </w:tcPr>
          <w:p w14:paraId="4162EF70" w14:textId="2BB9F6F1" w:rsidR="00705DEC" w:rsidRPr="002B50AF" w:rsidRDefault="00705DEC" w:rsidP="003E32D0">
            <w:pPr>
              <w:keepNext/>
              <w:keepLines/>
              <w:spacing w:before="20" w:after="20"/>
              <w:ind w:right="522"/>
              <w:jc w:val="right"/>
              <w:rPr>
                <w:rFonts w:cs="Calibri Light"/>
                <w:sz w:val="20"/>
                <w:szCs w:val="20"/>
              </w:rPr>
            </w:pPr>
            <w:r w:rsidRPr="002B50AF">
              <w:rPr>
                <w:rFonts w:cs="Calibri Light"/>
                <w:sz w:val="20"/>
                <w:szCs w:val="20"/>
              </w:rPr>
              <w:t>11.0</w:t>
            </w:r>
          </w:p>
        </w:tc>
        <w:tc>
          <w:tcPr>
            <w:tcW w:w="1620" w:type="dxa"/>
            <w:vAlign w:val="center"/>
          </w:tcPr>
          <w:p w14:paraId="2587B092" w14:textId="30402F69" w:rsidR="00705DEC" w:rsidRPr="002B50AF" w:rsidRDefault="00705DEC" w:rsidP="003E32D0">
            <w:pPr>
              <w:keepNext/>
              <w:keepLines/>
              <w:spacing w:before="20" w:after="20"/>
              <w:ind w:right="522"/>
              <w:jc w:val="right"/>
              <w:rPr>
                <w:rFonts w:cs="Calibri Light"/>
                <w:sz w:val="20"/>
                <w:szCs w:val="20"/>
              </w:rPr>
            </w:pPr>
            <w:r>
              <w:rPr>
                <w:rFonts w:cs="Calibri Light"/>
                <w:sz w:val="20"/>
                <w:szCs w:val="20"/>
              </w:rPr>
              <w:t>12.7</w:t>
            </w:r>
          </w:p>
        </w:tc>
        <w:tc>
          <w:tcPr>
            <w:tcW w:w="1620" w:type="dxa"/>
            <w:vAlign w:val="center"/>
          </w:tcPr>
          <w:p w14:paraId="50A7B9A7" w14:textId="3CA56422" w:rsidR="00705DEC" w:rsidRDefault="006B7A3B" w:rsidP="00B378DE">
            <w:pPr>
              <w:keepNext/>
              <w:keepLines/>
              <w:spacing w:before="20" w:after="20"/>
              <w:ind w:right="522"/>
              <w:jc w:val="right"/>
              <w:rPr>
                <w:rFonts w:cs="Calibri Light"/>
                <w:sz w:val="20"/>
                <w:szCs w:val="20"/>
              </w:rPr>
            </w:pPr>
            <w:r>
              <w:rPr>
                <w:rFonts w:cs="Calibri Light"/>
                <w:sz w:val="20"/>
                <w:szCs w:val="20"/>
              </w:rPr>
              <w:t>N/A</w:t>
            </w:r>
          </w:p>
        </w:tc>
      </w:tr>
      <w:tr w:rsidR="00705DEC" w:rsidRPr="002B50AF" w14:paraId="78023D69" w14:textId="3B50A1D1" w:rsidTr="00B378DE">
        <w:trPr>
          <w:cantSplit/>
          <w:trHeight w:val="20"/>
        </w:trPr>
        <w:tc>
          <w:tcPr>
            <w:tcW w:w="4135" w:type="dxa"/>
            <w:shd w:val="clear" w:color="auto" w:fill="auto"/>
          </w:tcPr>
          <w:p w14:paraId="2E1CA0FF" w14:textId="77777777" w:rsidR="00705DEC" w:rsidRPr="002B50AF" w:rsidRDefault="00705DEC" w:rsidP="003E32D0">
            <w:pPr>
              <w:autoSpaceDE w:val="0"/>
              <w:autoSpaceDN w:val="0"/>
              <w:adjustRightInd w:val="0"/>
              <w:spacing w:before="0" w:after="0" w:line="240" w:lineRule="auto"/>
              <w:rPr>
                <w:rFonts w:cs="Calibri Light"/>
                <w:sz w:val="20"/>
                <w:szCs w:val="20"/>
              </w:rPr>
            </w:pPr>
            <w:r w:rsidRPr="002B50AF">
              <w:rPr>
                <w:rFonts w:cs="Calibri Light"/>
                <w:sz w:val="20"/>
                <w:szCs w:val="20"/>
              </w:rPr>
              <w:lastRenderedPageBreak/>
              <w:t>Air-cooled unitary air conditioners</w:t>
            </w:r>
          </w:p>
          <w:p w14:paraId="5DE91F76" w14:textId="1B592BD5" w:rsidR="00705DEC" w:rsidRPr="002B50AF" w:rsidRDefault="00705DEC" w:rsidP="003E32D0">
            <w:pPr>
              <w:keepNext/>
              <w:keepLines/>
              <w:spacing w:before="20" w:after="20"/>
              <w:rPr>
                <w:rFonts w:cs="Calibri Light"/>
                <w:sz w:val="20"/>
                <w:szCs w:val="20"/>
              </w:rPr>
            </w:pPr>
            <w:r w:rsidRPr="002B50AF">
              <w:rPr>
                <w:rFonts w:cs="Calibri Light"/>
                <w:sz w:val="20"/>
                <w:szCs w:val="20"/>
              </w:rPr>
              <w:t>≥ 135 and &lt; 240 kBtuh</w:t>
            </w:r>
          </w:p>
        </w:tc>
        <w:tc>
          <w:tcPr>
            <w:tcW w:w="1620" w:type="dxa"/>
            <w:shd w:val="clear" w:color="auto" w:fill="auto"/>
            <w:vAlign w:val="center"/>
          </w:tcPr>
          <w:p w14:paraId="5368D6B8" w14:textId="142FF70D" w:rsidR="00705DEC" w:rsidRPr="002B50AF" w:rsidRDefault="00705DEC" w:rsidP="003E32D0">
            <w:pPr>
              <w:keepNext/>
              <w:keepLines/>
              <w:spacing w:before="20" w:after="20"/>
              <w:ind w:right="522"/>
              <w:jc w:val="right"/>
              <w:rPr>
                <w:rFonts w:cs="Calibri Light"/>
                <w:sz w:val="20"/>
                <w:szCs w:val="20"/>
              </w:rPr>
            </w:pPr>
            <w:r w:rsidRPr="002B50AF">
              <w:rPr>
                <w:rFonts w:cs="Calibri Light"/>
                <w:sz w:val="20"/>
                <w:szCs w:val="20"/>
              </w:rPr>
              <w:t>10.8</w:t>
            </w:r>
          </w:p>
        </w:tc>
        <w:tc>
          <w:tcPr>
            <w:tcW w:w="1620" w:type="dxa"/>
            <w:vAlign w:val="center"/>
          </w:tcPr>
          <w:p w14:paraId="0FD92E55" w14:textId="79E1A43C" w:rsidR="00705DEC" w:rsidRPr="002B50AF" w:rsidRDefault="00705DEC" w:rsidP="003E32D0">
            <w:pPr>
              <w:keepNext/>
              <w:keepLines/>
              <w:spacing w:before="20" w:after="20"/>
              <w:ind w:right="522"/>
              <w:jc w:val="right"/>
              <w:rPr>
                <w:rFonts w:cs="Calibri Light"/>
                <w:sz w:val="20"/>
                <w:szCs w:val="20"/>
              </w:rPr>
            </w:pPr>
            <w:r>
              <w:rPr>
                <w:rFonts w:cs="Calibri Light"/>
                <w:sz w:val="20"/>
                <w:szCs w:val="20"/>
              </w:rPr>
              <w:t>12.2</w:t>
            </w:r>
          </w:p>
        </w:tc>
        <w:tc>
          <w:tcPr>
            <w:tcW w:w="1620" w:type="dxa"/>
            <w:vAlign w:val="center"/>
          </w:tcPr>
          <w:p w14:paraId="1F5CA88B" w14:textId="6297CF6A" w:rsidR="00705DEC" w:rsidRDefault="006B7A3B" w:rsidP="00B378DE">
            <w:pPr>
              <w:keepNext/>
              <w:keepLines/>
              <w:spacing w:before="20" w:after="20"/>
              <w:ind w:right="522"/>
              <w:jc w:val="right"/>
              <w:rPr>
                <w:rFonts w:cs="Calibri Light"/>
                <w:sz w:val="20"/>
                <w:szCs w:val="20"/>
              </w:rPr>
            </w:pPr>
            <w:r>
              <w:rPr>
                <w:rFonts w:cs="Calibri Light"/>
                <w:sz w:val="20"/>
                <w:szCs w:val="20"/>
              </w:rPr>
              <w:t>N/A</w:t>
            </w:r>
          </w:p>
        </w:tc>
      </w:tr>
      <w:tr w:rsidR="00705DEC" w:rsidRPr="002B50AF" w14:paraId="07B7E2D2" w14:textId="167CB6D3" w:rsidTr="00B378DE">
        <w:trPr>
          <w:cantSplit/>
          <w:trHeight w:val="20"/>
        </w:trPr>
        <w:tc>
          <w:tcPr>
            <w:tcW w:w="4135" w:type="dxa"/>
            <w:shd w:val="clear" w:color="auto" w:fill="auto"/>
          </w:tcPr>
          <w:p w14:paraId="026D0715" w14:textId="77777777" w:rsidR="00705DEC" w:rsidRPr="002B50AF" w:rsidRDefault="00705DEC" w:rsidP="003E32D0">
            <w:pPr>
              <w:autoSpaceDE w:val="0"/>
              <w:autoSpaceDN w:val="0"/>
              <w:adjustRightInd w:val="0"/>
              <w:spacing w:before="0" w:after="0" w:line="240" w:lineRule="auto"/>
              <w:rPr>
                <w:rFonts w:cs="Calibri Light"/>
                <w:sz w:val="20"/>
                <w:szCs w:val="20"/>
              </w:rPr>
            </w:pPr>
            <w:r w:rsidRPr="002B50AF">
              <w:rPr>
                <w:rFonts w:cs="Calibri Light"/>
                <w:sz w:val="20"/>
                <w:szCs w:val="20"/>
              </w:rPr>
              <w:t>Air-cooled unitary air conditioners</w:t>
            </w:r>
          </w:p>
          <w:p w14:paraId="1D5FABF2" w14:textId="2BB56E39" w:rsidR="00705DEC" w:rsidRPr="002B50AF" w:rsidRDefault="00705DEC" w:rsidP="003E32D0">
            <w:pPr>
              <w:keepNext/>
              <w:keepLines/>
              <w:spacing w:before="20" w:after="20"/>
              <w:rPr>
                <w:rFonts w:cs="Calibri Light"/>
                <w:sz w:val="20"/>
                <w:szCs w:val="20"/>
              </w:rPr>
            </w:pPr>
            <w:r w:rsidRPr="002B50AF">
              <w:rPr>
                <w:rFonts w:cs="Calibri Light"/>
                <w:sz w:val="20"/>
                <w:szCs w:val="20"/>
              </w:rPr>
              <w:t>≥ 240 and &lt; 760 kBtuh</w:t>
            </w:r>
          </w:p>
        </w:tc>
        <w:tc>
          <w:tcPr>
            <w:tcW w:w="1620" w:type="dxa"/>
            <w:shd w:val="clear" w:color="auto" w:fill="auto"/>
            <w:vAlign w:val="center"/>
          </w:tcPr>
          <w:p w14:paraId="7A541BB5" w14:textId="58A61E0B" w:rsidR="00705DEC" w:rsidRPr="002B50AF" w:rsidRDefault="00705DEC" w:rsidP="003E32D0">
            <w:pPr>
              <w:keepNext/>
              <w:keepLines/>
              <w:spacing w:before="20" w:after="20"/>
              <w:ind w:right="522"/>
              <w:jc w:val="right"/>
              <w:rPr>
                <w:rFonts w:cs="Calibri Light"/>
                <w:sz w:val="20"/>
                <w:szCs w:val="20"/>
              </w:rPr>
            </w:pPr>
            <w:r w:rsidRPr="002B50AF">
              <w:rPr>
                <w:rFonts w:cs="Calibri Light"/>
                <w:sz w:val="20"/>
                <w:szCs w:val="20"/>
              </w:rPr>
              <w:t>9.8</w:t>
            </w:r>
          </w:p>
        </w:tc>
        <w:tc>
          <w:tcPr>
            <w:tcW w:w="1620" w:type="dxa"/>
            <w:vAlign w:val="center"/>
          </w:tcPr>
          <w:p w14:paraId="5467C33F" w14:textId="107AFF84" w:rsidR="00705DEC" w:rsidRPr="002B50AF" w:rsidRDefault="00705DEC" w:rsidP="003E32D0">
            <w:pPr>
              <w:keepNext/>
              <w:keepLines/>
              <w:spacing w:before="20" w:after="20"/>
              <w:ind w:right="522"/>
              <w:jc w:val="right"/>
              <w:rPr>
                <w:rFonts w:cs="Calibri Light"/>
                <w:sz w:val="20"/>
                <w:szCs w:val="20"/>
              </w:rPr>
            </w:pPr>
            <w:r>
              <w:rPr>
                <w:rFonts w:cs="Calibri Light"/>
                <w:sz w:val="20"/>
                <w:szCs w:val="20"/>
              </w:rPr>
              <w:t>11.4</w:t>
            </w:r>
          </w:p>
        </w:tc>
        <w:tc>
          <w:tcPr>
            <w:tcW w:w="1620" w:type="dxa"/>
            <w:vAlign w:val="center"/>
          </w:tcPr>
          <w:p w14:paraId="497E6C9B" w14:textId="6EB95AD8" w:rsidR="00705DEC" w:rsidRDefault="006B7A3B" w:rsidP="00B378DE">
            <w:pPr>
              <w:keepNext/>
              <w:keepLines/>
              <w:spacing w:before="20" w:after="20"/>
              <w:ind w:right="522"/>
              <w:jc w:val="right"/>
              <w:rPr>
                <w:rFonts w:cs="Calibri Light"/>
                <w:sz w:val="20"/>
                <w:szCs w:val="20"/>
              </w:rPr>
            </w:pPr>
            <w:r>
              <w:rPr>
                <w:rFonts w:cs="Calibri Light"/>
                <w:sz w:val="20"/>
                <w:szCs w:val="20"/>
              </w:rPr>
              <w:t>N/A</w:t>
            </w:r>
          </w:p>
        </w:tc>
      </w:tr>
      <w:tr w:rsidR="00705DEC" w:rsidRPr="002B50AF" w14:paraId="0D661E79" w14:textId="696F7AB6" w:rsidTr="00B378DE">
        <w:trPr>
          <w:cantSplit/>
          <w:trHeight w:val="20"/>
        </w:trPr>
        <w:tc>
          <w:tcPr>
            <w:tcW w:w="41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6E463C2D" w14:textId="77777777" w:rsidR="00705DEC" w:rsidRPr="002B50AF" w:rsidRDefault="00705DEC" w:rsidP="003E32D0">
            <w:pPr>
              <w:autoSpaceDE w:val="0"/>
              <w:autoSpaceDN w:val="0"/>
              <w:adjustRightInd w:val="0"/>
              <w:spacing w:before="0" w:after="0" w:line="240" w:lineRule="auto"/>
              <w:rPr>
                <w:rFonts w:cs="Calibri Light"/>
                <w:sz w:val="20"/>
                <w:szCs w:val="20"/>
              </w:rPr>
            </w:pPr>
            <w:r w:rsidRPr="002B50AF">
              <w:rPr>
                <w:rFonts w:cs="Calibri Light"/>
                <w:sz w:val="20"/>
                <w:szCs w:val="20"/>
              </w:rPr>
              <w:t>Air-cooled unitary air conditioners</w:t>
            </w:r>
          </w:p>
          <w:p w14:paraId="119EAC70" w14:textId="12E4B5B2" w:rsidR="00705DEC" w:rsidRPr="002B50AF" w:rsidRDefault="00705DEC" w:rsidP="003E32D0">
            <w:pPr>
              <w:autoSpaceDE w:val="0"/>
              <w:autoSpaceDN w:val="0"/>
              <w:adjustRightInd w:val="0"/>
              <w:spacing w:before="0" w:after="0" w:line="240" w:lineRule="auto"/>
              <w:rPr>
                <w:rFonts w:cs="Calibri Light"/>
                <w:sz w:val="20"/>
                <w:szCs w:val="20"/>
              </w:rPr>
            </w:pPr>
            <w:r w:rsidRPr="002B50AF">
              <w:rPr>
                <w:rFonts w:cs="Calibri Light"/>
                <w:sz w:val="20"/>
                <w:szCs w:val="20"/>
              </w:rPr>
              <w:t>≥ 760 kBtuh</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F4A0DAC" w14:textId="1DFA9D3F" w:rsidR="00705DEC" w:rsidRDefault="00705DEC" w:rsidP="003E32D0">
            <w:pPr>
              <w:keepNext/>
              <w:keepLines/>
              <w:spacing w:before="20" w:after="20"/>
              <w:ind w:right="522"/>
              <w:jc w:val="right"/>
              <w:rPr>
                <w:rFonts w:cs="Calibri Light"/>
                <w:sz w:val="20"/>
                <w:szCs w:val="20"/>
              </w:rPr>
            </w:pPr>
            <w:r>
              <w:rPr>
                <w:rFonts w:cs="Calibri Light"/>
                <w:sz w:val="20"/>
                <w:szCs w:val="20"/>
              </w:rPr>
              <w:t>9.5</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6FB2FD1" w14:textId="326F4544" w:rsidR="00705DEC" w:rsidRDefault="00705DEC" w:rsidP="003E32D0">
            <w:pPr>
              <w:keepNext/>
              <w:keepLines/>
              <w:spacing w:before="20" w:after="20"/>
              <w:ind w:right="522"/>
              <w:jc w:val="right"/>
              <w:rPr>
                <w:rFonts w:cs="Calibri Light"/>
                <w:sz w:val="20"/>
                <w:szCs w:val="20"/>
              </w:rPr>
            </w:pPr>
            <w:r>
              <w:rPr>
                <w:rFonts w:cs="Calibri Light"/>
                <w:sz w:val="20"/>
                <w:szCs w:val="20"/>
              </w:rPr>
              <w:t>11.0</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4C3965E" w14:textId="4BAD6D57" w:rsidR="00705DEC" w:rsidRDefault="00296193" w:rsidP="00B378DE">
            <w:pPr>
              <w:keepNext/>
              <w:keepLines/>
              <w:spacing w:before="20" w:after="20"/>
              <w:ind w:right="522"/>
              <w:jc w:val="right"/>
              <w:rPr>
                <w:rFonts w:cs="Calibri Light"/>
                <w:sz w:val="20"/>
                <w:szCs w:val="20"/>
              </w:rPr>
            </w:pPr>
            <w:r>
              <w:rPr>
                <w:rFonts w:cs="Calibri Light"/>
                <w:sz w:val="20"/>
                <w:szCs w:val="20"/>
              </w:rPr>
              <w:t>N/A</w:t>
            </w:r>
          </w:p>
        </w:tc>
      </w:tr>
      <w:tr w:rsidR="00705DEC" w:rsidRPr="002B50AF" w14:paraId="58541D7E" w14:textId="7AD51FED" w:rsidTr="00B378DE">
        <w:trPr>
          <w:cantSplit/>
          <w:trHeight w:val="20"/>
        </w:trPr>
        <w:tc>
          <w:tcPr>
            <w:tcW w:w="41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5D3C9F41" w14:textId="6F827BB3" w:rsidR="00705DEC" w:rsidRPr="002B50AF" w:rsidRDefault="00705DEC" w:rsidP="003E32D0">
            <w:pPr>
              <w:keepNext/>
              <w:keepLines/>
              <w:spacing w:before="20" w:after="20"/>
              <w:rPr>
                <w:rFonts w:cs="Calibri Light"/>
                <w:sz w:val="20"/>
                <w:szCs w:val="20"/>
              </w:rPr>
            </w:pPr>
            <w:r w:rsidRPr="002B50AF">
              <w:rPr>
                <w:rFonts w:cs="Calibri Light"/>
                <w:sz w:val="20"/>
                <w:szCs w:val="20"/>
              </w:rPr>
              <w:t>Air-cooled unitary heat pumps in cooling mode ≥ 65 and &lt; 135 kBtuh</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9B67799" w14:textId="77777777" w:rsidR="00705DEC" w:rsidRPr="002B50AF" w:rsidRDefault="00705DEC" w:rsidP="003E32D0">
            <w:pPr>
              <w:keepNext/>
              <w:keepLines/>
              <w:spacing w:before="20" w:after="20"/>
              <w:ind w:right="522"/>
              <w:jc w:val="right"/>
              <w:rPr>
                <w:rFonts w:cs="Calibri Light"/>
                <w:sz w:val="20"/>
                <w:szCs w:val="20"/>
              </w:rPr>
            </w:pPr>
            <w:r>
              <w:rPr>
                <w:rFonts w:cs="Calibri Light"/>
                <w:sz w:val="20"/>
                <w:szCs w:val="20"/>
              </w:rPr>
              <w:t>10.8</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8171381" w14:textId="77777777" w:rsidR="00705DEC" w:rsidRPr="002B50AF" w:rsidRDefault="00705DEC" w:rsidP="003E32D0">
            <w:pPr>
              <w:keepNext/>
              <w:keepLines/>
              <w:spacing w:before="20" w:after="20"/>
              <w:ind w:right="522"/>
              <w:jc w:val="right"/>
              <w:rPr>
                <w:rFonts w:cs="Calibri Light"/>
                <w:sz w:val="20"/>
                <w:szCs w:val="20"/>
              </w:rPr>
            </w:pPr>
            <w:r>
              <w:rPr>
                <w:rFonts w:cs="Calibri Light"/>
                <w:sz w:val="20"/>
                <w:szCs w:val="20"/>
              </w:rPr>
              <w:t>12.0</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D36C833" w14:textId="42E0F2B3" w:rsidR="00705DEC" w:rsidRDefault="0053049B" w:rsidP="00B378DE">
            <w:pPr>
              <w:keepNext/>
              <w:keepLines/>
              <w:spacing w:before="20" w:after="20"/>
              <w:ind w:right="522"/>
              <w:jc w:val="right"/>
              <w:rPr>
                <w:rFonts w:cs="Calibri Light"/>
                <w:sz w:val="20"/>
                <w:szCs w:val="20"/>
              </w:rPr>
            </w:pPr>
            <w:r>
              <w:rPr>
                <w:rFonts w:cs="Calibri Light"/>
                <w:sz w:val="20"/>
                <w:szCs w:val="20"/>
              </w:rPr>
              <w:t>3.3</w:t>
            </w:r>
          </w:p>
        </w:tc>
      </w:tr>
      <w:tr w:rsidR="00705DEC" w:rsidRPr="002B50AF" w14:paraId="1146FE39" w14:textId="6A44746D" w:rsidTr="00B378DE">
        <w:trPr>
          <w:cantSplit/>
          <w:trHeight w:val="20"/>
        </w:trPr>
        <w:tc>
          <w:tcPr>
            <w:tcW w:w="41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48553B4" w14:textId="77777777" w:rsidR="00705DEC" w:rsidRPr="002B50AF" w:rsidRDefault="00705DEC" w:rsidP="003E32D0">
            <w:pPr>
              <w:autoSpaceDE w:val="0"/>
              <w:autoSpaceDN w:val="0"/>
              <w:adjustRightInd w:val="0"/>
              <w:spacing w:before="0" w:after="0" w:line="240" w:lineRule="auto"/>
              <w:rPr>
                <w:rFonts w:cs="Calibri Light"/>
                <w:sz w:val="20"/>
                <w:szCs w:val="20"/>
              </w:rPr>
            </w:pPr>
            <w:r w:rsidRPr="002B50AF">
              <w:rPr>
                <w:rFonts w:cs="Calibri Light"/>
                <w:sz w:val="20"/>
                <w:szCs w:val="20"/>
              </w:rPr>
              <w:t>Air-cooled unitary heat pumps in cooling mode</w:t>
            </w:r>
          </w:p>
          <w:p w14:paraId="79E8E9D1" w14:textId="77777777" w:rsidR="00705DEC" w:rsidRPr="002B50AF" w:rsidRDefault="00705DEC" w:rsidP="003E32D0">
            <w:pPr>
              <w:keepNext/>
              <w:keepLines/>
              <w:spacing w:before="20" w:after="20"/>
              <w:rPr>
                <w:rFonts w:cs="Calibri Light"/>
                <w:sz w:val="20"/>
                <w:szCs w:val="20"/>
              </w:rPr>
            </w:pPr>
            <w:r w:rsidRPr="002B50AF">
              <w:rPr>
                <w:rFonts w:cs="Calibri Light"/>
                <w:sz w:val="20"/>
                <w:szCs w:val="20"/>
              </w:rPr>
              <w:t>≥ 135 and &lt; 240 kBtuh</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75EF76D" w14:textId="5312857E" w:rsidR="00705DEC" w:rsidRPr="002B50AF" w:rsidRDefault="00705DEC" w:rsidP="003E32D0">
            <w:pPr>
              <w:keepNext/>
              <w:keepLines/>
              <w:spacing w:before="20" w:after="20"/>
              <w:ind w:right="522"/>
              <w:jc w:val="right"/>
              <w:rPr>
                <w:rFonts w:cs="Calibri Light"/>
                <w:sz w:val="20"/>
                <w:szCs w:val="20"/>
              </w:rPr>
            </w:pPr>
            <w:r>
              <w:rPr>
                <w:rFonts w:cs="Calibri Light"/>
                <w:sz w:val="20"/>
                <w:szCs w:val="20"/>
              </w:rPr>
              <w:t>10.4</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113D292" w14:textId="4E2B3D8F" w:rsidR="00705DEC" w:rsidRPr="002B50AF" w:rsidRDefault="00705DEC" w:rsidP="003E32D0">
            <w:pPr>
              <w:keepNext/>
              <w:keepLines/>
              <w:spacing w:before="20" w:after="20"/>
              <w:ind w:right="522"/>
              <w:jc w:val="right"/>
              <w:rPr>
                <w:rFonts w:cs="Calibri Light"/>
                <w:sz w:val="20"/>
                <w:szCs w:val="20"/>
              </w:rPr>
            </w:pPr>
            <w:r>
              <w:rPr>
                <w:rFonts w:cs="Calibri Light"/>
                <w:sz w:val="20"/>
                <w:szCs w:val="20"/>
              </w:rPr>
              <w:t>11.4</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F336831" w14:textId="73491A6B" w:rsidR="00705DEC" w:rsidRDefault="0053049B" w:rsidP="00B378DE">
            <w:pPr>
              <w:keepNext/>
              <w:keepLines/>
              <w:spacing w:before="20" w:after="20"/>
              <w:ind w:right="522"/>
              <w:jc w:val="right"/>
              <w:rPr>
                <w:rFonts w:cs="Calibri Light"/>
                <w:sz w:val="20"/>
                <w:szCs w:val="20"/>
              </w:rPr>
            </w:pPr>
            <w:r>
              <w:rPr>
                <w:rFonts w:cs="Calibri Light"/>
                <w:sz w:val="20"/>
                <w:szCs w:val="20"/>
              </w:rPr>
              <w:t>3.2</w:t>
            </w:r>
          </w:p>
        </w:tc>
      </w:tr>
      <w:tr w:rsidR="00705DEC" w:rsidRPr="002B50AF" w14:paraId="2E0BE23A" w14:textId="624024F4" w:rsidTr="00B378DE">
        <w:trPr>
          <w:cantSplit/>
          <w:trHeight w:val="20"/>
        </w:trPr>
        <w:tc>
          <w:tcPr>
            <w:tcW w:w="41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4EFE925" w14:textId="77777777" w:rsidR="00705DEC" w:rsidRPr="002B50AF" w:rsidRDefault="00705DEC" w:rsidP="003E32D0">
            <w:pPr>
              <w:autoSpaceDE w:val="0"/>
              <w:autoSpaceDN w:val="0"/>
              <w:adjustRightInd w:val="0"/>
              <w:spacing w:before="0" w:after="0" w:line="240" w:lineRule="auto"/>
              <w:rPr>
                <w:rFonts w:cs="Calibri Light"/>
                <w:sz w:val="20"/>
                <w:szCs w:val="20"/>
              </w:rPr>
            </w:pPr>
            <w:r w:rsidRPr="002B50AF">
              <w:rPr>
                <w:rFonts w:cs="Calibri Light"/>
                <w:sz w:val="20"/>
                <w:szCs w:val="20"/>
              </w:rPr>
              <w:t>Air-cooled unitary heat pumps in cooling mode</w:t>
            </w:r>
          </w:p>
          <w:p w14:paraId="42CFF946" w14:textId="44CC7895" w:rsidR="00705DEC" w:rsidRPr="002B50AF" w:rsidRDefault="00705DEC" w:rsidP="003E32D0">
            <w:pPr>
              <w:keepNext/>
              <w:keepLines/>
              <w:spacing w:before="20" w:after="20"/>
              <w:rPr>
                <w:rFonts w:cs="Calibri Light"/>
                <w:sz w:val="20"/>
                <w:szCs w:val="20"/>
              </w:rPr>
            </w:pPr>
            <w:r w:rsidRPr="002B50AF">
              <w:rPr>
                <w:rFonts w:cs="Calibri Light"/>
                <w:sz w:val="20"/>
                <w:szCs w:val="20"/>
              </w:rPr>
              <w:t xml:space="preserve">≥ 240 kBtuh </w:t>
            </w:r>
            <w:r w:rsidR="000018D7">
              <w:rPr>
                <w:rFonts w:cs="Calibri Light"/>
                <w:sz w:val="20"/>
                <w:szCs w:val="20"/>
              </w:rPr>
              <w:t>and &lt; 760 kBtuh</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F9ABB2F" w14:textId="3445991E" w:rsidR="00705DEC" w:rsidRPr="002B50AF" w:rsidRDefault="00705DEC" w:rsidP="003E32D0">
            <w:pPr>
              <w:keepNext/>
              <w:keepLines/>
              <w:spacing w:before="20" w:after="20"/>
              <w:ind w:right="522"/>
              <w:jc w:val="right"/>
              <w:rPr>
                <w:rFonts w:cs="Calibri Light"/>
                <w:sz w:val="20"/>
                <w:szCs w:val="20"/>
              </w:rPr>
            </w:pPr>
            <w:r>
              <w:rPr>
                <w:rFonts w:cs="Calibri Light"/>
                <w:sz w:val="20"/>
                <w:szCs w:val="20"/>
              </w:rPr>
              <w:t>9.3</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559B42E" w14:textId="1579B059" w:rsidR="00705DEC" w:rsidRPr="002B50AF" w:rsidRDefault="00705DEC" w:rsidP="003E32D0">
            <w:pPr>
              <w:keepNext/>
              <w:keepLines/>
              <w:spacing w:before="20" w:after="20"/>
              <w:ind w:right="522"/>
              <w:jc w:val="right"/>
              <w:rPr>
                <w:rFonts w:cs="Calibri Light"/>
                <w:sz w:val="20"/>
                <w:szCs w:val="20"/>
              </w:rPr>
            </w:pPr>
            <w:r>
              <w:rPr>
                <w:rFonts w:cs="Calibri Light"/>
                <w:sz w:val="20"/>
                <w:szCs w:val="20"/>
              </w:rPr>
              <w:t>10.4</w:t>
            </w:r>
          </w:p>
        </w:tc>
        <w:tc>
          <w:tcPr>
            <w:tcW w:w="1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1D68659" w14:textId="2F80F2C2" w:rsidR="00705DEC" w:rsidRDefault="0053049B" w:rsidP="00B378DE">
            <w:pPr>
              <w:keepNext/>
              <w:keepLines/>
              <w:spacing w:before="20" w:after="20"/>
              <w:ind w:right="522"/>
              <w:jc w:val="right"/>
              <w:rPr>
                <w:rFonts w:cs="Calibri Light"/>
                <w:sz w:val="20"/>
                <w:szCs w:val="20"/>
              </w:rPr>
            </w:pPr>
            <w:r>
              <w:rPr>
                <w:rFonts w:cs="Calibri Light"/>
                <w:sz w:val="20"/>
                <w:szCs w:val="20"/>
              </w:rPr>
              <w:t>3.2</w:t>
            </w:r>
          </w:p>
        </w:tc>
      </w:tr>
    </w:tbl>
    <w:p w14:paraId="4743714F" w14:textId="77777777" w:rsidR="00B704E2" w:rsidRPr="002D418F" w:rsidRDefault="00B704E2" w:rsidP="00B704E2">
      <w:pPr>
        <w:rPr>
          <w:sz w:val="20"/>
        </w:rPr>
      </w:pPr>
      <w:r w:rsidRPr="002D418F">
        <w:rPr>
          <w:sz w:val="20"/>
          <w:vertAlign w:val="superscript"/>
        </w:rPr>
        <w:t>a</w:t>
      </w:r>
      <w:r w:rsidRPr="002D418F">
        <w:rPr>
          <w:sz w:val="20"/>
        </w:rPr>
        <w:t xml:space="preserve"> All IEER values shown are for “all other types of heating”</w:t>
      </w:r>
      <w:r>
        <w:rPr>
          <w:sz w:val="20"/>
        </w:rPr>
        <w:t xml:space="preserve"> (i.e., gas packs),</w:t>
      </w:r>
      <w:r w:rsidRPr="002D418F">
        <w:rPr>
          <w:sz w:val="20"/>
        </w:rPr>
        <w:t xml:space="preserve"> as opposed to “electric resistance heating or no heating.” </w:t>
      </w:r>
    </w:p>
    <w:p w14:paraId="2C89E747" w14:textId="77777777" w:rsidR="00882680" w:rsidRDefault="00882680" w:rsidP="00882680"/>
    <w:p w14:paraId="1EE16D20" w14:textId="77777777" w:rsidR="007D230B" w:rsidRPr="00171BB8" w:rsidRDefault="007D230B" w:rsidP="00462BB6">
      <w:pPr>
        <w:pStyle w:val="eTRMHeading3"/>
      </w:pPr>
      <w:bookmarkStart w:id="20" w:name="_Toc486490851"/>
      <w:bookmarkStart w:id="21" w:name="_Toc486580922"/>
      <w:bookmarkStart w:id="22" w:name="_Toc20997608"/>
      <w:r w:rsidRPr="00A83458">
        <w:t>Normalizing</w:t>
      </w:r>
      <w:r w:rsidRPr="00171BB8">
        <w:t xml:space="preserve"> Unit</w:t>
      </w:r>
      <w:bookmarkEnd w:id="20"/>
      <w:bookmarkEnd w:id="21"/>
      <w:bookmarkEnd w:id="22"/>
    </w:p>
    <w:p w14:paraId="3C55DF29" w14:textId="53FA4784" w:rsidR="00D06842" w:rsidRDefault="00D06842" w:rsidP="00D06842">
      <w:r>
        <w:t>Per cooling ton</w:t>
      </w:r>
      <w:r w:rsidR="00B704E2">
        <w:t xml:space="preserve">. </w:t>
      </w:r>
    </w:p>
    <w:p w14:paraId="0115BB45" w14:textId="77777777" w:rsidR="009C31A4" w:rsidRPr="007D230B" w:rsidRDefault="009C31A4" w:rsidP="00486585"/>
    <w:p w14:paraId="2F4904E6" w14:textId="77777777" w:rsidR="007D230B" w:rsidRPr="004B06E3" w:rsidRDefault="007D230B" w:rsidP="00462BB6">
      <w:pPr>
        <w:pStyle w:val="eTRMHeading3"/>
      </w:pPr>
      <w:bookmarkStart w:id="23" w:name="_Toc486490852"/>
      <w:bookmarkStart w:id="24" w:name="_Toc486580923"/>
      <w:bookmarkStart w:id="25" w:name="_Toc20997609"/>
      <w:bookmarkStart w:id="26" w:name="_Hlk515365299"/>
      <w:bookmarkStart w:id="27" w:name="_Hlk515878271"/>
      <w:r w:rsidRPr="004B06E3">
        <w:t>Program Requirements</w:t>
      </w:r>
      <w:bookmarkEnd w:id="23"/>
      <w:bookmarkEnd w:id="24"/>
      <w:bookmarkEnd w:id="25"/>
      <w:r w:rsidRPr="004B06E3">
        <w:t xml:space="preserve"> </w:t>
      </w:r>
    </w:p>
    <w:p w14:paraId="0CCEF948" w14:textId="77777777" w:rsidR="009D3057" w:rsidRDefault="009D3057" w:rsidP="009D3057">
      <w:pPr>
        <w:pStyle w:val="eTRMHeading5"/>
        <w:keepNext/>
        <w:keepLines/>
      </w:pPr>
      <w:bookmarkStart w:id="28" w:name="_Hlk516047641"/>
      <w:bookmarkEnd w:id="26"/>
      <w:r>
        <w:t>Measure Implementation Eligibility</w:t>
      </w:r>
    </w:p>
    <w:p w14:paraId="7B3DFA6C" w14:textId="72500E6B" w:rsidR="009D3057" w:rsidRDefault="009D3057" w:rsidP="009D3057">
      <w:bookmarkStart w:id="29" w:name="_Hlk527543844"/>
      <w:bookmarkStart w:id="30"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w:t>
      </w:r>
      <w:r w:rsidR="003570F5">
        <w:t xml:space="preserve"> in the table</w:t>
      </w:r>
      <w:r>
        <w:t xml:space="preserve"> below</w:t>
      </w:r>
      <w:r w:rsidRPr="00E35B8D">
        <w:t xml:space="preserve">.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w:t>
      </w:r>
      <w:r w:rsidR="00DC4653">
        <w:t xml:space="preserve">The table below </w:t>
      </w:r>
      <w:r w:rsidRPr="00E35B8D">
        <w:t>also designates the broad market sector(s) that are applicable for this measure.</w:t>
      </w:r>
      <w:bookmarkEnd w:id="29"/>
    </w:p>
    <w:bookmarkEnd w:id="30"/>
    <w:p w14:paraId="13BCF514" w14:textId="77777777" w:rsidR="009D3057" w:rsidRPr="00CC4643" w:rsidRDefault="009D3057" w:rsidP="009D3057">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282DB202" w14:textId="7C3B2AA6" w:rsidR="0019771B" w:rsidRDefault="0019771B" w:rsidP="00E35893">
      <w:pPr>
        <w:pStyle w:val="Caption"/>
      </w:pPr>
      <w:r w:rsidRPr="00204BC3">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1B426F" w:rsidRPr="00A47168" w14:paraId="40946250" w14:textId="77777777" w:rsidTr="004B7CAA">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14:paraId="22A9E909" w14:textId="77777777" w:rsidR="001B426F" w:rsidRPr="00A47168" w:rsidRDefault="001B426F" w:rsidP="001B426F">
            <w:pPr>
              <w:keepNext/>
              <w:spacing w:before="0" w:after="0"/>
              <w:rPr>
                <w:b/>
                <w:bCs/>
                <w:sz w:val="20"/>
              </w:rPr>
            </w:pPr>
            <w:r w:rsidRPr="00A4716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6B5DB796" w14:textId="77777777" w:rsidR="001B426F" w:rsidRPr="00A47168" w:rsidRDefault="001B426F" w:rsidP="001B426F">
            <w:pPr>
              <w:keepNext/>
              <w:spacing w:before="0" w:after="0"/>
              <w:rPr>
                <w:b/>
                <w:bCs/>
                <w:sz w:val="20"/>
              </w:rPr>
            </w:pPr>
            <w:r w:rsidRPr="00A4716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558F3FA" w14:textId="77777777" w:rsidR="001B426F" w:rsidRPr="00A47168" w:rsidRDefault="001B426F" w:rsidP="001B426F">
            <w:pPr>
              <w:keepNext/>
              <w:spacing w:before="0" w:after="0"/>
              <w:rPr>
                <w:b/>
                <w:bCs/>
                <w:sz w:val="20"/>
              </w:rPr>
            </w:pPr>
            <w:r w:rsidRPr="00A47168">
              <w:rPr>
                <w:b/>
                <w:bCs/>
                <w:sz w:val="20"/>
              </w:rPr>
              <w:t>Sector</w:t>
            </w:r>
          </w:p>
        </w:tc>
      </w:tr>
      <w:tr w:rsidR="001B426F" w:rsidRPr="00A47168" w14:paraId="54F21FF2" w14:textId="77777777" w:rsidTr="004B7CAA">
        <w:trPr>
          <w:trHeight w:val="290"/>
        </w:trPr>
        <w:tc>
          <w:tcPr>
            <w:tcW w:w="3024" w:type="dxa"/>
            <w:noWrap/>
            <w:tcMar>
              <w:top w:w="0" w:type="dxa"/>
              <w:left w:w="108" w:type="dxa"/>
              <w:bottom w:w="0" w:type="dxa"/>
              <w:right w:w="108" w:type="dxa"/>
            </w:tcMar>
            <w:vAlign w:val="bottom"/>
          </w:tcPr>
          <w:p w14:paraId="178C5C26" w14:textId="2AFE1249" w:rsidR="001B426F" w:rsidRPr="00A47168" w:rsidRDefault="001516EB" w:rsidP="001B426F">
            <w:pPr>
              <w:keepNext/>
              <w:spacing w:before="0" w:after="0"/>
              <w:rPr>
                <w:color w:val="000000"/>
                <w:sz w:val="20"/>
              </w:rPr>
            </w:pPr>
            <w:r>
              <w:rPr>
                <w:color w:val="000000"/>
                <w:sz w:val="20"/>
              </w:rPr>
              <w:t xml:space="preserve">Normal </w:t>
            </w:r>
            <w:r w:rsidR="006251F6">
              <w:rPr>
                <w:color w:val="000000"/>
                <w:sz w:val="20"/>
              </w:rPr>
              <w:t>r</w:t>
            </w:r>
            <w:r>
              <w:rPr>
                <w:color w:val="000000"/>
                <w:sz w:val="20"/>
              </w:rPr>
              <w:t>eplacement (NR)</w:t>
            </w:r>
          </w:p>
        </w:tc>
        <w:tc>
          <w:tcPr>
            <w:tcW w:w="3024" w:type="dxa"/>
            <w:noWrap/>
            <w:tcMar>
              <w:top w:w="0" w:type="dxa"/>
              <w:left w:w="108" w:type="dxa"/>
              <w:bottom w:w="0" w:type="dxa"/>
              <w:right w:w="108" w:type="dxa"/>
            </w:tcMar>
            <w:vAlign w:val="bottom"/>
          </w:tcPr>
          <w:p w14:paraId="7EB7E369" w14:textId="2A3CA4FD" w:rsidR="001B426F" w:rsidRPr="00A47168" w:rsidRDefault="00585D2E" w:rsidP="001B426F">
            <w:pPr>
              <w:keepNext/>
              <w:spacing w:before="0" w:after="0"/>
              <w:rPr>
                <w:color w:val="000000"/>
                <w:sz w:val="20"/>
              </w:rPr>
            </w:pPr>
            <w:r>
              <w:rPr>
                <w:color w:val="000000"/>
                <w:sz w:val="20"/>
              </w:rPr>
              <w:t>UpDeemed</w:t>
            </w:r>
          </w:p>
        </w:tc>
        <w:tc>
          <w:tcPr>
            <w:tcW w:w="3024" w:type="dxa"/>
            <w:noWrap/>
            <w:tcMar>
              <w:top w:w="0" w:type="dxa"/>
              <w:left w:w="108" w:type="dxa"/>
              <w:bottom w:w="0" w:type="dxa"/>
              <w:right w:w="108" w:type="dxa"/>
            </w:tcMar>
            <w:vAlign w:val="bottom"/>
          </w:tcPr>
          <w:p w14:paraId="6F9C2987" w14:textId="5C38B05B" w:rsidR="001B426F" w:rsidRPr="00A47168" w:rsidRDefault="001516EB" w:rsidP="001B426F">
            <w:pPr>
              <w:keepNext/>
              <w:spacing w:before="0" w:after="0"/>
              <w:rPr>
                <w:color w:val="000000"/>
                <w:sz w:val="20"/>
              </w:rPr>
            </w:pPr>
            <w:r>
              <w:rPr>
                <w:color w:val="000000"/>
                <w:sz w:val="20"/>
              </w:rPr>
              <w:t>Com</w:t>
            </w:r>
          </w:p>
        </w:tc>
      </w:tr>
      <w:tr w:rsidR="001B426F" w:rsidRPr="00A47168" w14:paraId="5D22EDDB" w14:textId="77777777" w:rsidTr="004B7CAA">
        <w:trPr>
          <w:trHeight w:val="290"/>
        </w:trPr>
        <w:tc>
          <w:tcPr>
            <w:tcW w:w="3024" w:type="dxa"/>
            <w:noWrap/>
            <w:tcMar>
              <w:top w:w="0" w:type="dxa"/>
              <w:left w:w="108" w:type="dxa"/>
              <w:bottom w:w="0" w:type="dxa"/>
              <w:right w:w="108" w:type="dxa"/>
            </w:tcMar>
            <w:vAlign w:val="bottom"/>
          </w:tcPr>
          <w:p w14:paraId="67C06326" w14:textId="7010375C" w:rsidR="001B426F" w:rsidRPr="00A47168" w:rsidRDefault="001516EB" w:rsidP="001B426F">
            <w:pPr>
              <w:keepNext/>
              <w:spacing w:before="0" w:after="0"/>
              <w:rPr>
                <w:color w:val="000000"/>
                <w:sz w:val="20"/>
              </w:rPr>
            </w:pPr>
            <w:r>
              <w:rPr>
                <w:color w:val="000000"/>
                <w:sz w:val="20"/>
              </w:rPr>
              <w:t xml:space="preserve">New </w:t>
            </w:r>
            <w:r w:rsidR="006251F6">
              <w:rPr>
                <w:color w:val="000000"/>
                <w:sz w:val="20"/>
              </w:rPr>
              <w:t>c</w:t>
            </w:r>
            <w:r>
              <w:rPr>
                <w:color w:val="000000"/>
                <w:sz w:val="20"/>
              </w:rPr>
              <w:t>onstruction (NC)</w:t>
            </w:r>
          </w:p>
        </w:tc>
        <w:tc>
          <w:tcPr>
            <w:tcW w:w="3024" w:type="dxa"/>
            <w:noWrap/>
            <w:tcMar>
              <w:top w:w="0" w:type="dxa"/>
              <w:left w:w="108" w:type="dxa"/>
              <w:bottom w:w="0" w:type="dxa"/>
              <w:right w:w="108" w:type="dxa"/>
            </w:tcMar>
            <w:vAlign w:val="bottom"/>
          </w:tcPr>
          <w:p w14:paraId="5AA899A5" w14:textId="37C6263E" w:rsidR="001B426F" w:rsidRPr="00A47168" w:rsidRDefault="00585D2E" w:rsidP="001B426F">
            <w:pPr>
              <w:keepNext/>
              <w:spacing w:before="0" w:after="0"/>
              <w:rPr>
                <w:color w:val="000000"/>
                <w:sz w:val="20"/>
              </w:rPr>
            </w:pPr>
            <w:r>
              <w:rPr>
                <w:color w:val="000000"/>
                <w:sz w:val="20"/>
              </w:rPr>
              <w:t>UpDeem</w:t>
            </w:r>
            <w:r w:rsidR="00535F32">
              <w:rPr>
                <w:color w:val="000000"/>
                <w:sz w:val="20"/>
              </w:rPr>
              <w:t>e</w:t>
            </w:r>
            <w:r>
              <w:rPr>
                <w:color w:val="000000"/>
                <w:sz w:val="20"/>
              </w:rPr>
              <w:t>d</w:t>
            </w:r>
          </w:p>
        </w:tc>
        <w:tc>
          <w:tcPr>
            <w:tcW w:w="3024" w:type="dxa"/>
            <w:noWrap/>
            <w:tcMar>
              <w:top w:w="0" w:type="dxa"/>
              <w:left w:w="108" w:type="dxa"/>
              <w:bottom w:w="0" w:type="dxa"/>
              <w:right w:w="108" w:type="dxa"/>
            </w:tcMar>
            <w:vAlign w:val="bottom"/>
          </w:tcPr>
          <w:p w14:paraId="111B3DEA" w14:textId="7826E020" w:rsidR="001B426F" w:rsidRPr="00A47168" w:rsidRDefault="001516EB" w:rsidP="001B426F">
            <w:pPr>
              <w:keepNext/>
              <w:spacing w:before="0" w:after="0"/>
              <w:rPr>
                <w:color w:val="000000"/>
                <w:sz w:val="20"/>
              </w:rPr>
            </w:pPr>
            <w:r>
              <w:rPr>
                <w:color w:val="000000"/>
                <w:sz w:val="20"/>
              </w:rPr>
              <w:t>Com</w:t>
            </w:r>
          </w:p>
        </w:tc>
      </w:tr>
    </w:tbl>
    <w:p w14:paraId="4BA5D31C" w14:textId="227A318D" w:rsidR="00BF1399" w:rsidRDefault="00BF1399" w:rsidP="00BF1399">
      <w:pPr>
        <w:autoSpaceDE w:val="0"/>
        <w:autoSpaceDN w:val="0"/>
        <w:adjustRightInd w:val="0"/>
        <w:spacing w:before="0" w:after="0" w:line="240" w:lineRule="auto"/>
        <w:rPr>
          <w:rFonts w:ascii="Calibri" w:hAnsi="Calibri" w:cs="Calibri"/>
          <w:b/>
          <w:bCs/>
          <w:szCs w:val="22"/>
        </w:rPr>
      </w:pPr>
    </w:p>
    <w:p w14:paraId="1E5C05D6" w14:textId="77777777" w:rsidR="00BF1399" w:rsidRPr="0054736B" w:rsidRDefault="00BF1399" w:rsidP="00BF1399">
      <w:r>
        <w:t>Additional eligibility requirements include:</w:t>
      </w:r>
    </w:p>
    <w:p w14:paraId="4B58AC79" w14:textId="6F01C09E" w:rsidR="00BF1399" w:rsidRDefault="00BF1399" w:rsidP="00BF1399">
      <w:pPr>
        <w:pStyle w:val="eTRMBulletedText"/>
      </w:pPr>
      <w:r>
        <w:t xml:space="preserve">All unitary </w:t>
      </w:r>
      <w:r w:rsidR="00A52A36">
        <w:t xml:space="preserve">direct </w:t>
      </w:r>
      <w:r w:rsidR="00A52A36" w:rsidRPr="00A52A36">
        <w:t>expansion (</w:t>
      </w:r>
      <w:r w:rsidRPr="00A52A36">
        <w:t>DX</w:t>
      </w:r>
      <w:r w:rsidR="00A52A36" w:rsidRPr="00A52A36">
        <w:t>)</w:t>
      </w:r>
      <w:r>
        <w:t xml:space="preserve"> equipment is eligible. </w:t>
      </w:r>
    </w:p>
    <w:p w14:paraId="23DD6D9C" w14:textId="0DD013EF" w:rsidR="00BF1399" w:rsidRDefault="00BF1399" w:rsidP="00BF1399">
      <w:pPr>
        <w:pStyle w:val="eTRMBulletedText"/>
      </w:pPr>
      <w:r>
        <w:t>The replacement must be “like for like” (</w:t>
      </w:r>
      <w:r w:rsidR="00475A87">
        <w:t>e</w:t>
      </w:r>
      <w:r>
        <w:t>.</w:t>
      </w:r>
      <w:r w:rsidR="00475A87">
        <w:t>g</w:t>
      </w:r>
      <w:r>
        <w:t>., a heat pump for a heat pump)</w:t>
      </w:r>
    </w:p>
    <w:p w14:paraId="00C2B060" w14:textId="77777777" w:rsidR="00BF1399" w:rsidRDefault="00BF1399" w:rsidP="00BF1399">
      <w:pPr>
        <w:pStyle w:val="eTRMBulletedText"/>
      </w:pPr>
      <w:r>
        <w:t>Retrofitted equipment must have cooling capacity (e.g., Btu/h) within +/- 5% of existing equipment OR the contractor must provide a load calculation verifying that the new unit is sized correctly for the load.</w:t>
      </w:r>
    </w:p>
    <w:p w14:paraId="21040D14" w14:textId="77777777" w:rsidR="00BA492B" w:rsidRDefault="00BA492B" w:rsidP="001B426F"/>
    <w:bookmarkEnd w:id="27"/>
    <w:bookmarkEnd w:id="28"/>
    <w:p w14:paraId="50711562" w14:textId="5D0894B2" w:rsidR="00AA46AF" w:rsidRDefault="00196649" w:rsidP="00154391">
      <w:pPr>
        <w:pStyle w:val="eTRMHeading5"/>
      </w:pPr>
      <w:r>
        <w:t>Eligible Products</w:t>
      </w:r>
    </w:p>
    <w:p w14:paraId="524D55DD" w14:textId="77777777" w:rsidR="00CA7D0C" w:rsidRDefault="00BF1399" w:rsidP="00CA7D0C">
      <w:pPr>
        <w:autoSpaceDE w:val="0"/>
        <w:autoSpaceDN w:val="0"/>
        <w:adjustRightInd w:val="0"/>
        <w:spacing w:before="0" w:after="0" w:line="240" w:lineRule="auto"/>
      </w:pPr>
      <w:r>
        <w:t>Eligible equipment must meet the measure case specifications in the Measure Case Description</w:t>
      </w:r>
      <w:r w:rsidR="00CA7D0C">
        <w:t xml:space="preserve">. </w:t>
      </w:r>
    </w:p>
    <w:p w14:paraId="06851200" w14:textId="474DBEBE" w:rsidR="00352193" w:rsidRDefault="00715557" w:rsidP="00715557">
      <w:r w:rsidRPr="009D3057">
        <w:t xml:space="preserve">The model number is used to ascertain the equipment efficiency of a package system. The equipment efficiency of a split system will be based on a combination of the condenser and evaporator model numbers provided by </w:t>
      </w:r>
      <w:r w:rsidR="009D3057" w:rsidRPr="009D3057">
        <w:t>a</w:t>
      </w:r>
      <w:r w:rsidRPr="009D3057">
        <w:t xml:space="preserve"> distributor. </w:t>
      </w:r>
      <w:r w:rsidR="009D3057" w:rsidRPr="009D3057">
        <w:t>The efficiency rating</w:t>
      </w:r>
      <w:r w:rsidRPr="009D3057">
        <w:t xml:space="preserve"> will then be verified </w:t>
      </w:r>
      <w:r w:rsidR="00C16C6F">
        <w:t>according to</w:t>
      </w:r>
      <w:r w:rsidRPr="009D3057">
        <w:t xml:space="preserve"> the </w:t>
      </w:r>
      <w:r w:rsidR="00AE19EF">
        <w:t>Air</w:t>
      </w:r>
      <w:r w:rsidR="006554DF">
        <w:t>-</w:t>
      </w:r>
      <w:r w:rsidR="00AE19EF">
        <w:t>Conditioning, Heating, and Refrigeration Institute (</w:t>
      </w:r>
      <w:r w:rsidRPr="009D3057">
        <w:t>A</w:t>
      </w:r>
      <w:r w:rsidR="008E30E2">
        <w:t>H</w:t>
      </w:r>
      <w:r w:rsidRPr="009D3057">
        <w:t>RI</w:t>
      </w:r>
      <w:r w:rsidR="00AE19EF">
        <w:t>)</w:t>
      </w:r>
      <w:r w:rsidR="006554DF">
        <w:t xml:space="preserve"> or </w:t>
      </w:r>
      <w:r w:rsidR="001725DC">
        <w:t xml:space="preserve">Consortium </w:t>
      </w:r>
      <w:r w:rsidR="00E627E5">
        <w:t>for Energy Efficiency (</w:t>
      </w:r>
      <w:r w:rsidRPr="009D3057">
        <w:t>CEE</w:t>
      </w:r>
      <w:r w:rsidR="00E627E5">
        <w:t>)</w:t>
      </w:r>
      <w:r w:rsidRPr="009D3057">
        <w:t xml:space="preserve"> database or manufacturers specification sheets. </w:t>
      </w:r>
    </w:p>
    <w:p w14:paraId="5F036810" w14:textId="3D3071A8" w:rsidR="00715557" w:rsidRPr="009D3057" w:rsidRDefault="00715557" w:rsidP="00715557">
      <w:r w:rsidRPr="009D3057">
        <w:t>Field inspections should be performed to verify the condenser/unit model number for quality assurance purposes.</w:t>
      </w:r>
    </w:p>
    <w:p w14:paraId="20BC0C00" w14:textId="77777777" w:rsidR="00715557" w:rsidRDefault="00715557" w:rsidP="00715557">
      <w:r w:rsidRPr="009D3057">
        <w:t>Because of the large number of evaporator/condenser combinations available for split systems (several thousand combinations) some averages and/or minimum efficiencies may be used for certain groups of equipment.</w:t>
      </w:r>
    </w:p>
    <w:p w14:paraId="4F327D72" w14:textId="77777777" w:rsidR="00715557" w:rsidRDefault="00715557" w:rsidP="002942B0"/>
    <w:p w14:paraId="7CE938DA" w14:textId="2434378C" w:rsidR="007B6A74" w:rsidRPr="00401C43" w:rsidRDefault="007B6A74" w:rsidP="00401C43">
      <w:pPr>
        <w:pStyle w:val="eTRMHeading5"/>
      </w:pPr>
      <w:r w:rsidRPr="00401C43">
        <w:t>Eligible Building Types</w:t>
      </w:r>
      <w:r w:rsidR="00E57AAD">
        <w:t xml:space="preserve"> and Vintages</w:t>
      </w:r>
    </w:p>
    <w:p w14:paraId="72C7C75C" w14:textId="77777777" w:rsidR="00CA7D0C" w:rsidRDefault="00CA7D0C" w:rsidP="00CA7D0C">
      <w:r>
        <w:t>This measure is applicable for all nonresidential building types and vintages.</w:t>
      </w:r>
    </w:p>
    <w:p w14:paraId="755DF7B6" w14:textId="77777777" w:rsidR="007135A9" w:rsidRPr="00571D95" w:rsidRDefault="007135A9" w:rsidP="00571D95"/>
    <w:p w14:paraId="1A3705F3" w14:textId="4BC0985D" w:rsidR="007B6A74" w:rsidRPr="004B06E3" w:rsidRDefault="00196649" w:rsidP="00154391">
      <w:pPr>
        <w:pStyle w:val="eTRMHeading5"/>
      </w:pPr>
      <w:r>
        <w:t>Eligible Climate Zones</w:t>
      </w:r>
    </w:p>
    <w:p w14:paraId="4A9FD22A" w14:textId="6F7B0467" w:rsidR="004B6780" w:rsidRDefault="004B6780" w:rsidP="004B6780">
      <w:r>
        <w:t xml:space="preserve">This measure is applicable to </w:t>
      </w:r>
      <w:r w:rsidR="00BE7DE8">
        <w:t>any</w:t>
      </w:r>
      <w:r>
        <w:t xml:space="preserve"> California climate zones.</w:t>
      </w:r>
    </w:p>
    <w:p w14:paraId="34FF761D" w14:textId="77777777" w:rsidR="006C41AD" w:rsidRPr="004B06E3" w:rsidRDefault="006C41AD" w:rsidP="004B06E3"/>
    <w:p w14:paraId="47630D60" w14:textId="77777777" w:rsidR="007D230B" w:rsidRPr="004B06E3" w:rsidRDefault="007D230B" w:rsidP="00462BB6">
      <w:pPr>
        <w:pStyle w:val="eTRMHeading3"/>
      </w:pPr>
      <w:bookmarkStart w:id="31" w:name="_Toc486490853"/>
      <w:bookmarkStart w:id="32" w:name="_Toc486580924"/>
      <w:bookmarkStart w:id="33" w:name="_Toc20997610"/>
      <w:r w:rsidRPr="004B06E3">
        <w:t>Program Exclusions</w:t>
      </w:r>
      <w:bookmarkEnd w:id="31"/>
      <w:bookmarkEnd w:id="32"/>
      <w:bookmarkEnd w:id="33"/>
      <w:r w:rsidRPr="004B06E3">
        <w:t xml:space="preserve"> </w:t>
      </w:r>
    </w:p>
    <w:p w14:paraId="1BB15703" w14:textId="77777777" w:rsidR="00BF1399" w:rsidRDefault="00BF1399" w:rsidP="00BF1399">
      <w:r>
        <w:t>Central systems and domestic hot water systems are not eligible.</w:t>
      </w:r>
    </w:p>
    <w:p w14:paraId="4515E947" w14:textId="3928B125" w:rsidR="00BF1399" w:rsidRPr="00BF1399" w:rsidRDefault="00BF1399" w:rsidP="00BF1399">
      <w:pPr>
        <w:rPr>
          <w:rFonts w:cs="Calibri Light"/>
          <w:szCs w:val="22"/>
        </w:rPr>
      </w:pPr>
      <w:r w:rsidRPr="00BF1399">
        <w:rPr>
          <w:rFonts w:cs="Calibri Light"/>
        </w:rPr>
        <w:t xml:space="preserve">Package terminal </w:t>
      </w:r>
      <w:r w:rsidR="00352193">
        <w:rPr>
          <w:rFonts w:cs="Calibri Light"/>
        </w:rPr>
        <w:t>air conditioning</w:t>
      </w:r>
      <w:r w:rsidR="00352193" w:rsidRPr="00BF1399">
        <w:rPr>
          <w:rFonts w:cs="Calibri Light"/>
        </w:rPr>
        <w:t xml:space="preserve"> </w:t>
      </w:r>
      <w:r w:rsidRPr="00BF1399">
        <w:rPr>
          <w:rFonts w:cs="Calibri Light"/>
        </w:rPr>
        <w:t xml:space="preserve">units, which are units manufactured for installation through a wall or </w:t>
      </w:r>
      <w:r w:rsidRPr="00BF1399">
        <w:rPr>
          <w:rFonts w:cs="Calibri Light"/>
          <w:szCs w:val="22"/>
        </w:rPr>
        <w:t xml:space="preserve">window and are usually </w:t>
      </w:r>
      <w:r>
        <w:rPr>
          <w:rFonts w:cs="Calibri Light"/>
          <w:szCs w:val="22"/>
        </w:rPr>
        <w:t xml:space="preserve">≤ </w:t>
      </w:r>
      <w:r w:rsidRPr="00BF1399">
        <w:rPr>
          <w:rFonts w:cs="Calibri Light"/>
          <w:szCs w:val="22"/>
        </w:rPr>
        <w:t>2 tons, are not eligible.</w:t>
      </w:r>
    </w:p>
    <w:p w14:paraId="76A9A64F" w14:textId="77777777" w:rsidR="007B6A74" w:rsidRPr="004B06E3" w:rsidRDefault="007B6A74" w:rsidP="004B06E3"/>
    <w:p w14:paraId="655E299F" w14:textId="77777777" w:rsidR="007D230B" w:rsidRPr="004B06E3" w:rsidRDefault="007D230B" w:rsidP="00462BB6">
      <w:pPr>
        <w:pStyle w:val="eTRMHeading3"/>
      </w:pPr>
      <w:bookmarkStart w:id="34" w:name="_Toc486490854"/>
      <w:bookmarkStart w:id="35" w:name="_Toc486580925"/>
      <w:bookmarkStart w:id="36" w:name="_Toc20997611"/>
      <w:r w:rsidRPr="004B06E3">
        <w:t>Data Collection Requirements</w:t>
      </w:r>
      <w:bookmarkEnd w:id="34"/>
      <w:bookmarkEnd w:id="35"/>
      <w:bookmarkEnd w:id="36"/>
      <w:r w:rsidRPr="004B06E3">
        <w:t xml:space="preserve"> </w:t>
      </w:r>
    </w:p>
    <w:p w14:paraId="49298D4E" w14:textId="4ED5BC59" w:rsidR="00750840" w:rsidRDefault="003903F5" w:rsidP="004B06E3">
      <w:r>
        <w:t>Data requirements are to be determined.</w:t>
      </w:r>
    </w:p>
    <w:p w14:paraId="78A77A98" w14:textId="77777777" w:rsidR="003903F5" w:rsidRPr="004B06E3" w:rsidRDefault="003903F5" w:rsidP="004B06E3"/>
    <w:p w14:paraId="4891FCAB" w14:textId="77777777" w:rsidR="007D230B" w:rsidRPr="004B06E3" w:rsidRDefault="007D230B" w:rsidP="00462BB6">
      <w:pPr>
        <w:pStyle w:val="eTRMHeading3"/>
      </w:pPr>
      <w:bookmarkStart w:id="37" w:name="_Toc486490855"/>
      <w:bookmarkStart w:id="38" w:name="_Toc486580926"/>
      <w:bookmarkStart w:id="39" w:name="_Toc20997612"/>
      <w:r w:rsidRPr="004B06E3">
        <w:t>Use Category</w:t>
      </w:r>
      <w:bookmarkEnd w:id="37"/>
      <w:bookmarkEnd w:id="38"/>
      <w:bookmarkEnd w:id="39"/>
    </w:p>
    <w:p w14:paraId="13382FF9" w14:textId="3946B975" w:rsidR="004142EF" w:rsidRDefault="00132E1A" w:rsidP="004B06E3">
      <w:r>
        <w:t>HVAC</w:t>
      </w:r>
    </w:p>
    <w:p w14:paraId="69458728" w14:textId="77777777" w:rsidR="00132E1A" w:rsidRPr="004B06E3" w:rsidRDefault="00132E1A" w:rsidP="004B06E3"/>
    <w:p w14:paraId="4B62D367" w14:textId="370A839E" w:rsidR="007D230B" w:rsidRPr="004B06E3" w:rsidRDefault="007D230B" w:rsidP="00462BB6">
      <w:pPr>
        <w:pStyle w:val="eTRMHeading3"/>
      </w:pPr>
      <w:bookmarkStart w:id="40" w:name="_Toc486490857"/>
      <w:bookmarkStart w:id="41" w:name="_Toc486580928"/>
      <w:bookmarkStart w:id="42" w:name="_Toc20997613"/>
      <w:r w:rsidRPr="004B06E3">
        <w:t>Electric Savings</w:t>
      </w:r>
      <w:r w:rsidR="00245AFF" w:rsidRPr="004B06E3">
        <w:t xml:space="preserve"> (</w:t>
      </w:r>
      <w:r w:rsidR="00E14349" w:rsidRPr="00E14349">
        <w:t>k</w:t>
      </w:r>
      <w:r w:rsidR="00245AFF" w:rsidRPr="004B06E3">
        <w:t>Wh)</w:t>
      </w:r>
      <w:bookmarkEnd w:id="40"/>
      <w:bookmarkEnd w:id="41"/>
      <w:bookmarkEnd w:id="42"/>
    </w:p>
    <w:p w14:paraId="7D0BE74F" w14:textId="0D1BBF36" w:rsidR="008315E6" w:rsidRDefault="008315E6" w:rsidP="008315E6">
      <w:pPr>
        <w:rPr>
          <w:rFonts w:asciiTheme="minorHAnsi" w:hAnsiTheme="minorHAnsi"/>
          <w:szCs w:val="22"/>
        </w:rPr>
      </w:pPr>
      <w:r>
        <w:t>The electric</w:t>
      </w:r>
      <w:r w:rsidRPr="00370595">
        <w:t xml:space="preserve"> energy savings </w:t>
      </w:r>
      <w:r>
        <w:t xml:space="preserve">of a unitary air-cooled ACs and HPs </w:t>
      </w:r>
      <w:r>
        <w:rPr>
          <w:rFonts w:cs="Calibri Light"/>
        </w:rPr>
        <w:t>≥</w:t>
      </w:r>
      <w:r>
        <w:t xml:space="preserve"> 65 kBtu</w:t>
      </w:r>
      <w:r w:rsidR="003903F5">
        <w:t>/</w:t>
      </w:r>
      <w:r>
        <w:t>h</w:t>
      </w:r>
      <w:r w:rsidR="003903F5">
        <w:t>r</w:t>
      </w:r>
      <w:r>
        <w:t xml:space="preserve"> were</w:t>
      </w:r>
      <w:r w:rsidRPr="00370595">
        <w:t xml:space="preserve"> </w:t>
      </w:r>
      <w:r>
        <w:t>drawn</w:t>
      </w:r>
      <w:r w:rsidRPr="00370595">
        <w:t xml:space="preserve"> directly </w:t>
      </w:r>
      <w:r>
        <w:t>from</w:t>
      </w:r>
      <w:r w:rsidRPr="00370595">
        <w:t xml:space="preserve"> </w:t>
      </w:r>
      <w:r>
        <w:t xml:space="preserve">the Database of </w:t>
      </w:r>
      <w:r w:rsidRPr="00006F8E">
        <w:t xml:space="preserve">Energy Efficient Resources (DEER). The version used to calculate savings for these measures </w:t>
      </w:r>
      <w:r w:rsidRPr="00F9194F">
        <w:t>is DEER</w:t>
      </w:r>
      <w:r w:rsidR="00630B9B">
        <w:t>2020</w:t>
      </w:r>
      <w:r w:rsidRPr="00F9194F">
        <w:t>. The results were reported in the Remote Ex-Ante Database Interface</w:t>
      </w:r>
      <w:r w:rsidRPr="00006F8E">
        <w:t xml:space="preserve"> (READI) tool; the</w:t>
      </w:r>
      <w:r w:rsidRPr="00AB4637">
        <w:t xml:space="preserve"> results have not been modified.</w:t>
      </w:r>
      <w:r w:rsidRPr="006A2EE1">
        <w:rPr>
          <w:rFonts w:asciiTheme="minorHAnsi" w:hAnsiTheme="minorHAnsi"/>
          <w:szCs w:val="22"/>
        </w:rPr>
        <w:t xml:space="preserve"> </w:t>
      </w:r>
    </w:p>
    <w:p w14:paraId="4CB5AE45" w14:textId="3C733E2A" w:rsidR="008315E6" w:rsidRDefault="008315E6" w:rsidP="008315E6">
      <w:bookmarkStart w:id="43" w:name="_Hlk11073177"/>
      <w:r>
        <w:lastRenderedPageBreak/>
        <w:t>Electric savings values vary by building type, building vintage, and climate zone. All DEER “Com” building types as well as the “existing” vintage (“Ex”, weighted DEER vintages) and all climate zones were used.</w:t>
      </w:r>
    </w:p>
    <w:p w14:paraId="13C60BB4" w14:textId="172CBF1C" w:rsidR="000C0ABA" w:rsidRDefault="00A07BE3" w:rsidP="00C86976">
      <w:r>
        <w:rPr>
          <w:szCs w:val="22"/>
        </w:rPr>
        <w:t xml:space="preserve">The DEER Energy Impact IDs and the associated Measure Offering IDs and description are provided </w:t>
      </w:r>
      <w:r w:rsidR="00C86976">
        <w:rPr>
          <w:szCs w:val="22"/>
        </w:rPr>
        <w:t xml:space="preserve">in </w:t>
      </w:r>
      <w:r w:rsidR="00C86976">
        <w:rPr>
          <w:szCs w:val="22"/>
        </w:rPr>
        <w:fldChar w:fldCharType="begin"/>
      </w:r>
      <w:r w:rsidR="00C86976">
        <w:rPr>
          <w:szCs w:val="22"/>
        </w:rPr>
        <w:instrText xml:space="preserve"> REF _Ref19179566 \h </w:instrText>
      </w:r>
      <w:r w:rsidR="00C86976">
        <w:rPr>
          <w:szCs w:val="22"/>
        </w:rPr>
      </w:r>
      <w:r w:rsidR="00C86976">
        <w:rPr>
          <w:szCs w:val="22"/>
        </w:rPr>
        <w:fldChar w:fldCharType="separate"/>
      </w:r>
      <w:r w:rsidR="00C86976">
        <w:t xml:space="preserve">Table </w:t>
      </w:r>
      <w:r w:rsidR="00C86976">
        <w:rPr>
          <w:noProof/>
        </w:rPr>
        <w:t>5</w:t>
      </w:r>
      <w:r w:rsidR="00C86976">
        <w:rPr>
          <w:szCs w:val="22"/>
        </w:rPr>
        <w:fldChar w:fldCharType="end"/>
      </w:r>
      <w:r w:rsidR="00C86976">
        <w:rPr>
          <w:szCs w:val="22"/>
        </w:rPr>
        <w:t>.</w:t>
      </w:r>
      <w:bookmarkEnd w:id="43"/>
    </w:p>
    <w:p w14:paraId="5B3D4540" w14:textId="4F6170BA" w:rsidR="00C86976" w:rsidRDefault="00C86976" w:rsidP="00C86976">
      <w:pPr>
        <w:pStyle w:val="Caption"/>
      </w:pPr>
      <w:r w:rsidRPr="00CD26BE">
        <w:t>Measure Offering IDs and DEER Measure IDs</w:t>
      </w:r>
    </w:p>
    <w:tbl>
      <w:tblPr>
        <w:tblW w:w="97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465"/>
        <w:gridCol w:w="3143"/>
        <w:gridCol w:w="5127"/>
      </w:tblGrid>
      <w:tr w:rsidR="000C0ABA" w:rsidRPr="00E35C55" w14:paraId="2C39F1D8" w14:textId="77777777" w:rsidTr="000C0ABA">
        <w:trPr>
          <w:trHeight w:val="300"/>
          <w:tblHeader/>
        </w:trPr>
        <w:tc>
          <w:tcPr>
            <w:tcW w:w="1465" w:type="dxa"/>
            <w:shd w:val="clear" w:color="auto" w:fill="F2F2F2" w:themeFill="background1" w:themeFillShade="F2"/>
            <w:vAlign w:val="bottom"/>
          </w:tcPr>
          <w:p w14:paraId="63E20CDD" w14:textId="77777777" w:rsidR="000C0ABA" w:rsidRPr="001823AC" w:rsidRDefault="000C0ABA" w:rsidP="00B713E0">
            <w:pPr>
              <w:spacing w:before="0" w:after="0" w:line="240" w:lineRule="auto"/>
              <w:jc w:val="center"/>
              <w:rPr>
                <w:rFonts w:cs="Calibri Light"/>
                <w:b/>
                <w:bCs/>
                <w:color w:val="000000"/>
                <w:sz w:val="20"/>
                <w:szCs w:val="20"/>
              </w:rPr>
            </w:pPr>
            <w:r w:rsidRPr="001823AC">
              <w:rPr>
                <w:rFonts w:cs="Calibri Light"/>
                <w:b/>
                <w:bCs/>
                <w:color w:val="000000"/>
                <w:sz w:val="20"/>
                <w:szCs w:val="20"/>
              </w:rPr>
              <w:t>Statewide Measure Offering ID</w:t>
            </w:r>
          </w:p>
        </w:tc>
        <w:tc>
          <w:tcPr>
            <w:tcW w:w="3143" w:type="dxa"/>
            <w:shd w:val="clear" w:color="auto" w:fill="F2F2F2" w:themeFill="background1" w:themeFillShade="F2"/>
            <w:noWrap/>
            <w:vAlign w:val="bottom"/>
            <w:hideMark/>
          </w:tcPr>
          <w:p w14:paraId="721456F8" w14:textId="77777777" w:rsidR="000C0ABA" w:rsidRPr="001823AC" w:rsidRDefault="000C0ABA" w:rsidP="00B713E0">
            <w:pPr>
              <w:spacing w:before="0" w:after="0" w:line="240" w:lineRule="auto"/>
              <w:jc w:val="center"/>
              <w:rPr>
                <w:rFonts w:cs="Calibri Light"/>
                <w:b/>
                <w:bCs/>
                <w:color w:val="000000"/>
                <w:sz w:val="20"/>
                <w:szCs w:val="20"/>
              </w:rPr>
            </w:pPr>
            <w:r w:rsidRPr="001823AC">
              <w:rPr>
                <w:rFonts w:cs="Calibri Light"/>
                <w:b/>
                <w:bCs/>
                <w:color w:val="000000"/>
                <w:sz w:val="20"/>
                <w:szCs w:val="20"/>
              </w:rPr>
              <w:t xml:space="preserve">DEER </w:t>
            </w:r>
            <w:r>
              <w:rPr>
                <w:rFonts w:cs="Calibri Light"/>
                <w:b/>
                <w:bCs/>
                <w:color w:val="000000"/>
                <w:sz w:val="20"/>
                <w:szCs w:val="20"/>
              </w:rPr>
              <w:t>Energy Impact</w:t>
            </w:r>
            <w:r w:rsidRPr="001823AC">
              <w:rPr>
                <w:rFonts w:cs="Calibri Light"/>
                <w:b/>
                <w:bCs/>
                <w:color w:val="000000"/>
                <w:sz w:val="20"/>
                <w:szCs w:val="20"/>
              </w:rPr>
              <w:t xml:space="preserve"> ID</w:t>
            </w:r>
          </w:p>
        </w:tc>
        <w:tc>
          <w:tcPr>
            <w:tcW w:w="5127" w:type="dxa"/>
            <w:shd w:val="clear" w:color="auto" w:fill="F2F2F2" w:themeFill="background1" w:themeFillShade="F2"/>
            <w:noWrap/>
            <w:vAlign w:val="bottom"/>
            <w:hideMark/>
          </w:tcPr>
          <w:p w14:paraId="11595C63" w14:textId="77777777" w:rsidR="000C0ABA" w:rsidRPr="001823AC" w:rsidRDefault="000C0ABA" w:rsidP="00B713E0">
            <w:pPr>
              <w:spacing w:before="0" w:after="0" w:line="240" w:lineRule="auto"/>
              <w:jc w:val="center"/>
              <w:rPr>
                <w:rFonts w:cs="Calibri Light"/>
                <w:b/>
                <w:bCs/>
                <w:color w:val="000000"/>
                <w:sz w:val="20"/>
                <w:szCs w:val="20"/>
              </w:rPr>
            </w:pPr>
            <w:r w:rsidRPr="001823AC">
              <w:rPr>
                <w:rFonts w:cs="Calibri Light"/>
                <w:b/>
                <w:bCs/>
                <w:color w:val="000000"/>
                <w:sz w:val="20"/>
                <w:szCs w:val="20"/>
              </w:rPr>
              <w:t>Measure Offering Description</w:t>
            </w:r>
          </w:p>
        </w:tc>
      </w:tr>
      <w:tr w:rsidR="000C0ABA" w:rsidRPr="00E35C55" w14:paraId="4DDDC53E" w14:textId="77777777" w:rsidTr="000C0ABA">
        <w:trPr>
          <w:trHeight w:val="288"/>
        </w:trPr>
        <w:tc>
          <w:tcPr>
            <w:tcW w:w="1465" w:type="dxa"/>
          </w:tcPr>
          <w:p w14:paraId="45FFC7EE" w14:textId="34DA3A0A" w:rsidR="000C0ABA" w:rsidRPr="001823AC" w:rsidRDefault="000C0ABA" w:rsidP="000C0ABA">
            <w:pPr>
              <w:spacing w:before="0" w:after="0" w:line="240" w:lineRule="auto"/>
              <w:rPr>
                <w:rFonts w:cs="Calibri Light"/>
                <w:sz w:val="20"/>
                <w:szCs w:val="20"/>
              </w:rPr>
            </w:pPr>
            <w:r w:rsidRPr="009018E0">
              <w:t>SWHC013A</w:t>
            </w:r>
          </w:p>
        </w:tc>
        <w:tc>
          <w:tcPr>
            <w:tcW w:w="3143" w:type="dxa"/>
            <w:shd w:val="clear" w:color="auto" w:fill="auto"/>
            <w:noWrap/>
          </w:tcPr>
          <w:p w14:paraId="00A5D4D9" w14:textId="6637C2D7" w:rsidR="000C0ABA" w:rsidRPr="001823AC" w:rsidRDefault="000C0ABA" w:rsidP="000C0ABA">
            <w:pPr>
              <w:spacing w:before="0" w:after="0" w:line="240" w:lineRule="auto"/>
              <w:rPr>
                <w:rFonts w:cs="Calibri Light"/>
                <w:color w:val="000000"/>
                <w:sz w:val="20"/>
                <w:szCs w:val="20"/>
              </w:rPr>
            </w:pPr>
            <w:r w:rsidRPr="00A16B6C">
              <w:t>NE-HVAC-airAC-SpltPkg-65to134kBtuh-11p5eer-woutPreEcono</w:t>
            </w:r>
          </w:p>
        </w:tc>
        <w:tc>
          <w:tcPr>
            <w:tcW w:w="5127" w:type="dxa"/>
            <w:shd w:val="clear" w:color="auto" w:fill="auto"/>
            <w:noWrap/>
          </w:tcPr>
          <w:p w14:paraId="74E34512" w14:textId="7386A92F" w:rsidR="000C0ABA" w:rsidRPr="001823AC" w:rsidRDefault="000C0ABA" w:rsidP="000C0ABA">
            <w:pPr>
              <w:spacing w:before="0" w:after="0" w:line="240" w:lineRule="auto"/>
              <w:rPr>
                <w:rFonts w:cs="Calibri Light"/>
                <w:color w:val="000000"/>
                <w:sz w:val="20"/>
                <w:szCs w:val="20"/>
              </w:rPr>
            </w:pPr>
            <w:r w:rsidRPr="004B5F13">
              <w:t>Unitary Air-Cooled A/C, Commercial, 65 - 134 kBTU/h, 11.5 EER and 13 IEER</w:t>
            </w:r>
          </w:p>
        </w:tc>
      </w:tr>
      <w:tr w:rsidR="000C0ABA" w:rsidRPr="00E35C55" w14:paraId="16A7F1A0" w14:textId="77777777" w:rsidTr="000C0ABA">
        <w:trPr>
          <w:trHeight w:val="288"/>
        </w:trPr>
        <w:tc>
          <w:tcPr>
            <w:tcW w:w="1465" w:type="dxa"/>
          </w:tcPr>
          <w:p w14:paraId="4FE4AAB9" w14:textId="2258BBEB" w:rsidR="000C0ABA" w:rsidRPr="001823AC" w:rsidRDefault="000C0ABA" w:rsidP="000C0ABA">
            <w:pPr>
              <w:spacing w:before="0" w:after="0" w:line="240" w:lineRule="auto"/>
              <w:rPr>
                <w:rFonts w:cs="Calibri Light"/>
                <w:sz w:val="20"/>
                <w:szCs w:val="20"/>
              </w:rPr>
            </w:pPr>
            <w:r w:rsidRPr="009018E0">
              <w:t>SWHC013B</w:t>
            </w:r>
          </w:p>
        </w:tc>
        <w:tc>
          <w:tcPr>
            <w:tcW w:w="3143" w:type="dxa"/>
            <w:shd w:val="clear" w:color="auto" w:fill="auto"/>
            <w:noWrap/>
          </w:tcPr>
          <w:p w14:paraId="127654D3" w14:textId="043AAC9E" w:rsidR="000C0ABA" w:rsidRPr="001823AC" w:rsidRDefault="000C0ABA" w:rsidP="000C0ABA">
            <w:pPr>
              <w:spacing w:before="0" w:after="0" w:line="240" w:lineRule="auto"/>
              <w:rPr>
                <w:rFonts w:cs="Calibri Light"/>
                <w:color w:val="000000"/>
                <w:sz w:val="20"/>
                <w:szCs w:val="20"/>
              </w:rPr>
            </w:pPr>
            <w:r w:rsidRPr="00A16B6C">
              <w:t>NE-HVAC-airAC-SpltPkg-65to134kBtuh-12p0eer-woutPreEcono</w:t>
            </w:r>
          </w:p>
        </w:tc>
        <w:tc>
          <w:tcPr>
            <w:tcW w:w="5127" w:type="dxa"/>
            <w:shd w:val="clear" w:color="auto" w:fill="auto"/>
            <w:noWrap/>
          </w:tcPr>
          <w:p w14:paraId="60A0DF6B" w14:textId="18BD37FA" w:rsidR="000C0ABA" w:rsidRPr="001823AC" w:rsidRDefault="000C0ABA" w:rsidP="000C0ABA">
            <w:pPr>
              <w:spacing w:before="0" w:after="0" w:line="240" w:lineRule="auto"/>
              <w:rPr>
                <w:rFonts w:cs="Calibri Light"/>
                <w:color w:val="000000"/>
                <w:sz w:val="20"/>
                <w:szCs w:val="20"/>
              </w:rPr>
            </w:pPr>
            <w:r w:rsidRPr="004B5F13">
              <w:t>Unitary Air-Cooled A/C, Commercial, 65 - 134 kBTU/h, 12 EER and 13.5 IEER</w:t>
            </w:r>
          </w:p>
        </w:tc>
      </w:tr>
      <w:tr w:rsidR="000C0ABA" w:rsidRPr="00E35C55" w14:paraId="6C78D5F4" w14:textId="77777777" w:rsidTr="000C0ABA">
        <w:trPr>
          <w:trHeight w:val="300"/>
        </w:trPr>
        <w:tc>
          <w:tcPr>
            <w:tcW w:w="1465" w:type="dxa"/>
          </w:tcPr>
          <w:p w14:paraId="43ED543A" w14:textId="1A225375" w:rsidR="000C0ABA" w:rsidRPr="001823AC" w:rsidRDefault="000C0ABA" w:rsidP="000C0ABA">
            <w:pPr>
              <w:spacing w:before="0" w:after="0" w:line="240" w:lineRule="auto"/>
              <w:rPr>
                <w:rFonts w:cs="Calibri Light"/>
                <w:sz w:val="20"/>
                <w:szCs w:val="20"/>
              </w:rPr>
            </w:pPr>
            <w:r w:rsidRPr="009018E0">
              <w:t>SWHC013C</w:t>
            </w:r>
          </w:p>
        </w:tc>
        <w:tc>
          <w:tcPr>
            <w:tcW w:w="3143" w:type="dxa"/>
            <w:shd w:val="clear" w:color="auto" w:fill="auto"/>
            <w:noWrap/>
          </w:tcPr>
          <w:p w14:paraId="02C50B64" w14:textId="59FCDC33" w:rsidR="000C0ABA" w:rsidRPr="001823AC" w:rsidRDefault="000C0ABA" w:rsidP="000C0ABA">
            <w:pPr>
              <w:spacing w:before="0" w:after="0" w:line="240" w:lineRule="auto"/>
              <w:rPr>
                <w:rFonts w:cs="Calibri Light"/>
                <w:color w:val="000000"/>
                <w:sz w:val="20"/>
                <w:szCs w:val="20"/>
              </w:rPr>
            </w:pPr>
            <w:r w:rsidRPr="00A16B6C">
              <w:t>NE-HVAC-airAC-SpltPkg-65to134kBtuh-12p5eer-woutPreEcono</w:t>
            </w:r>
          </w:p>
        </w:tc>
        <w:tc>
          <w:tcPr>
            <w:tcW w:w="5127" w:type="dxa"/>
            <w:shd w:val="clear" w:color="auto" w:fill="auto"/>
            <w:noWrap/>
          </w:tcPr>
          <w:p w14:paraId="5C52B865" w14:textId="3F9975C6" w:rsidR="000C0ABA" w:rsidRPr="001823AC" w:rsidRDefault="000C0ABA" w:rsidP="000C0ABA">
            <w:pPr>
              <w:spacing w:before="0" w:after="0" w:line="240" w:lineRule="auto"/>
              <w:rPr>
                <w:rFonts w:cs="Calibri Light"/>
                <w:color w:val="000000"/>
                <w:sz w:val="20"/>
                <w:szCs w:val="20"/>
              </w:rPr>
            </w:pPr>
            <w:r w:rsidRPr="004B5F13">
              <w:t>Unitary Air-Cooled A/C, Commercial, 65 - 134 kBTU/h, 12.5 EER and 14 IEER</w:t>
            </w:r>
          </w:p>
        </w:tc>
      </w:tr>
      <w:tr w:rsidR="000C0ABA" w:rsidRPr="00E35C55" w14:paraId="53F393DC" w14:textId="77777777" w:rsidTr="000C0ABA">
        <w:trPr>
          <w:trHeight w:val="300"/>
        </w:trPr>
        <w:tc>
          <w:tcPr>
            <w:tcW w:w="1465" w:type="dxa"/>
          </w:tcPr>
          <w:p w14:paraId="72B4EB9F" w14:textId="4CAC0298" w:rsidR="000C0ABA" w:rsidRPr="001823AC" w:rsidRDefault="000C0ABA" w:rsidP="000C0ABA">
            <w:pPr>
              <w:spacing w:before="0" w:after="0" w:line="240" w:lineRule="auto"/>
              <w:rPr>
                <w:rFonts w:cs="Calibri Light"/>
                <w:sz w:val="20"/>
                <w:szCs w:val="20"/>
              </w:rPr>
            </w:pPr>
            <w:r w:rsidRPr="009018E0">
              <w:t>SWHC013D</w:t>
            </w:r>
          </w:p>
        </w:tc>
        <w:tc>
          <w:tcPr>
            <w:tcW w:w="3143" w:type="dxa"/>
            <w:shd w:val="clear" w:color="auto" w:fill="auto"/>
            <w:noWrap/>
          </w:tcPr>
          <w:p w14:paraId="21C027E0" w14:textId="54987036" w:rsidR="000C0ABA" w:rsidRPr="001823AC" w:rsidRDefault="000C0ABA" w:rsidP="000C0ABA">
            <w:pPr>
              <w:spacing w:before="0" w:after="0" w:line="240" w:lineRule="auto"/>
              <w:rPr>
                <w:rFonts w:cs="Calibri Light"/>
                <w:color w:val="000000"/>
                <w:sz w:val="20"/>
                <w:szCs w:val="20"/>
              </w:rPr>
            </w:pPr>
            <w:r w:rsidRPr="00A16B6C">
              <w:t>NE-HVAC-airAC-SpltPkg-65to134kBtuh-13p0eer-woutPreEcono</w:t>
            </w:r>
          </w:p>
        </w:tc>
        <w:tc>
          <w:tcPr>
            <w:tcW w:w="5127" w:type="dxa"/>
            <w:shd w:val="clear" w:color="auto" w:fill="auto"/>
            <w:noWrap/>
          </w:tcPr>
          <w:p w14:paraId="63C6929E" w14:textId="7196074A" w:rsidR="000C0ABA" w:rsidRPr="001823AC" w:rsidRDefault="000C0ABA" w:rsidP="000C0ABA">
            <w:pPr>
              <w:spacing w:before="0" w:after="0" w:line="240" w:lineRule="auto"/>
              <w:rPr>
                <w:rFonts w:cs="Calibri Light"/>
                <w:color w:val="000000"/>
                <w:sz w:val="20"/>
                <w:szCs w:val="20"/>
              </w:rPr>
            </w:pPr>
            <w:r w:rsidRPr="004B5F13">
              <w:t>Unitary Air-Cooled A/C, Commercial, 65 - 134 kBTU/h, 13 EER and 15 IEER</w:t>
            </w:r>
          </w:p>
        </w:tc>
      </w:tr>
      <w:tr w:rsidR="000C0ABA" w:rsidRPr="00E35C55" w14:paraId="0FBADE6B" w14:textId="77777777" w:rsidTr="000C0ABA">
        <w:trPr>
          <w:trHeight w:val="300"/>
        </w:trPr>
        <w:tc>
          <w:tcPr>
            <w:tcW w:w="1465" w:type="dxa"/>
          </w:tcPr>
          <w:p w14:paraId="427C3E4E" w14:textId="4B927488" w:rsidR="000C0ABA" w:rsidRPr="001823AC" w:rsidRDefault="000C0ABA" w:rsidP="000C0ABA">
            <w:pPr>
              <w:spacing w:before="0" w:after="0" w:line="240" w:lineRule="auto"/>
              <w:rPr>
                <w:rFonts w:cs="Calibri Light"/>
                <w:sz w:val="20"/>
                <w:szCs w:val="20"/>
              </w:rPr>
            </w:pPr>
            <w:r w:rsidRPr="009018E0">
              <w:t>SWHC013E</w:t>
            </w:r>
          </w:p>
        </w:tc>
        <w:tc>
          <w:tcPr>
            <w:tcW w:w="3143" w:type="dxa"/>
            <w:shd w:val="clear" w:color="auto" w:fill="auto"/>
            <w:noWrap/>
          </w:tcPr>
          <w:p w14:paraId="336F18F1" w14:textId="030C6503" w:rsidR="000C0ABA" w:rsidRDefault="000C0ABA" w:rsidP="000C0ABA">
            <w:pPr>
              <w:spacing w:before="0" w:after="0" w:line="240" w:lineRule="auto"/>
              <w:rPr>
                <w:rStyle w:val="CommentReference"/>
              </w:rPr>
            </w:pPr>
            <w:r w:rsidRPr="001A0395">
              <w:t>NE-HVAC-airAC-SpltPkg-135to239kBtuh-11p5eer</w:t>
            </w:r>
          </w:p>
        </w:tc>
        <w:tc>
          <w:tcPr>
            <w:tcW w:w="5127" w:type="dxa"/>
            <w:shd w:val="clear" w:color="auto" w:fill="auto"/>
            <w:noWrap/>
          </w:tcPr>
          <w:p w14:paraId="481CB0E3" w14:textId="682E6B48" w:rsidR="000C0ABA" w:rsidRPr="001823AC" w:rsidRDefault="000C0ABA" w:rsidP="000C0ABA">
            <w:pPr>
              <w:spacing w:before="0" w:after="0" w:line="240" w:lineRule="auto"/>
              <w:rPr>
                <w:rFonts w:cs="Calibri Light"/>
                <w:color w:val="000000"/>
                <w:sz w:val="20"/>
                <w:szCs w:val="20"/>
              </w:rPr>
            </w:pPr>
            <w:r w:rsidRPr="004B5F13">
              <w:t>Unitary Air-Cooled A/C, Commercial, 135 - 2</w:t>
            </w:r>
            <w:r w:rsidR="00F828D7">
              <w:t>39</w:t>
            </w:r>
            <w:r w:rsidRPr="004B5F13">
              <w:t xml:space="preserve"> kBTU/h, 11.5 EER and 13 IEER</w:t>
            </w:r>
          </w:p>
        </w:tc>
      </w:tr>
      <w:tr w:rsidR="000C0ABA" w:rsidRPr="00E35C55" w14:paraId="72ACFEB5" w14:textId="77777777" w:rsidTr="000C0ABA">
        <w:trPr>
          <w:trHeight w:val="300"/>
        </w:trPr>
        <w:tc>
          <w:tcPr>
            <w:tcW w:w="1465" w:type="dxa"/>
          </w:tcPr>
          <w:p w14:paraId="0EF35C35" w14:textId="25A51DA8" w:rsidR="000C0ABA" w:rsidRPr="001823AC" w:rsidRDefault="000C0ABA" w:rsidP="000C0ABA">
            <w:pPr>
              <w:spacing w:before="0" w:after="0" w:line="240" w:lineRule="auto"/>
              <w:rPr>
                <w:rFonts w:cs="Calibri Light"/>
                <w:sz w:val="20"/>
                <w:szCs w:val="20"/>
              </w:rPr>
            </w:pPr>
            <w:r w:rsidRPr="009018E0">
              <w:t>SWHC013F</w:t>
            </w:r>
          </w:p>
        </w:tc>
        <w:tc>
          <w:tcPr>
            <w:tcW w:w="3143" w:type="dxa"/>
            <w:shd w:val="clear" w:color="auto" w:fill="auto"/>
            <w:noWrap/>
          </w:tcPr>
          <w:p w14:paraId="29250C9C" w14:textId="0D8BD28C" w:rsidR="000C0ABA" w:rsidRDefault="000C0ABA" w:rsidP="000C0ABA">
            <w:pPr>
              <w:spacing w:before="0" w:after="0" w:line="240" w:lineRule="auto"/>
              <w:rPr>
                <w:rStyle w:val="CommentReference"/>
              </w:rPr>
            </w:pPr>
            <w:r w:rsidRPr="001A0395">
              <w:t>NE-HVAC-airAC-SpltPkg-135to239kBtuh-12p0eer</w:t>
            </w:r>
          </w:p>
        </w:tc>
        <w:tc>
          <w:tcPr>
            <w:tcW w:w="5127" w:type="dxa"/>
            <w:shd w:val="clear" w:color="auto" w:fill="auto"/>
            <w:noWrap/>
          </w:tcPr>
          <w:p w14:paraId="0D618EB9" w14:textId="57D68F95" w:rsidR="000C0ABA" w:rsidRPr="001823AC" w:rsidRDefault="000C0ABA" w:rsidP="000C0ABA">
            <w:pPr>
              <w:spacing w:before="0" w:after="0" w:line="240" w:lineRule="auto"/>
              <w:rPr>
                <w:rFonts w:cs="Calibri Light"/>
                <w:color w:val="000000"/>
                <w:sz w:val="20"/>
                <w:szCs w:val="20"/>
              </w:rPr>
            </w:pPr>
            <w:r w:rsidRPr="004B5F13">
              <w:t>Unitary Air-Cooled A/C, Commercial, 135 - 2</w:t>
            </w:r>
            <w:r w:rsidR="00F828D7">
              <w:t>39</w:t>
            </w:r>
            <w:r w:rsidRPr="004B5F13">
              <w:t xml:space="preserve"> kBTU/h, 12 EER and 13.5 IEER</w:t>
            </w:r>
          </w:p>
        </w:tc>
      </w:tr>
      <w:tr w:rsidR="000C0ABA" w:rsidRPr="00E35C55" w14:paraId="00049BC7" w14:textId="77777777" w:rsidTr="000C0ABA">
        <w:trPr>
          <w:trHeight w:val="300"/>
        </w:trPr>
        <w:tc>
          <w:tcPr>
            <w:tcW w:w="1465" w:type="dxa"/>
          </w:tcPr>
          <w:p w14:paraId="71B46C19" w14:textId="42DCB79A" w:rsidR="000C0ABA" w:rsidRPr="001823AC" w:rsidRDefault="000C0ABA" w:rsidP="000C0ABA">
            <w:pPr>
              <w:spacing w:before="0" w:after="0" w:line="240" w:lineRule="auto"/>
              <w:rPr>
                <w:rFonts w:cs="Calibri Light"/>
                <w:sz w:val="20"/>
                <w:szCs w:val="20"/>
              </w:rPr>
            </w:pPr>
            <w:r w:rsidRPr="009018E0">
              <w:t>SWHC013G</w:t>
            </w:r>
          </w:p>
        </w:tc>
        <w:tc>
          <w:tcPr>
            <w:tcW w:w="3143" w:type="dxa"/>
            <w:shd w:val="clear" w:color="auto" w:fill="auto"/>
            <w:noWrap/>
          </w:tcPr>
          <w:p w14:paraId="31A3EF26" w14:textId="48191004" w:rsidR="000C0ABA" w:rsidRDefault="000C0ABA" w:rsidP="000C0ABA">
            <w:pPr>
              <w:spacing w:before="0" w:after="0" w:line="240" w:lineRule="auto"/>
              <w:rPr>
                <w:rStyle w:val="CommentReference"/>
              </w:rPr>
            </w:pPr>
            <w:r w:rsidRPr="001A0395">
              <w:t>NE-HVAC-airAC-SpltPkg-135to239kBtuh-12p5eer</w:t>
            </w:r>
          </w:p>
        </w:tc>
        <w:tc>
          <w:tcPr>
            <w:tcW w:w="5127" w:type="dxa"/>
            <w:shd w:val="clear" w:color="auto" w:fill="auto"/>
            <w:noWrap/>
          </w:tcPr>
          <w:p w14:paraId="791A4637" w14:textId="5D4F2C95" w:rsidR="000C0ABA" w:rsidRPr="001823AC" w:rsidRDefault="000C0ABA" w:rsidP="000C0ABA">
            <w:pPr>
              <w:spacing w:before="0" w:after="0" w:line="240" w:lineRule="auto"/>
              <w:rPr>
                <w:rFonts w:cs="Calibri Light"/>
                <w:color w:val="000000"/>
                <w:sz w:val="20"/>
                <w:szCs w:val="20"/>
              </w:rPr>
            </w:pPr>
            <w:r w:rsidRPr="004B5F13">
              <w:t>Unitary Air-Cooled A/C, Commercial, 135 - 2</w:t>
            </w:r>
            <w:r w:rsidR="00F828D7">
              <w:t>39</w:t>
            </w:r>
            <w:r w:rsidRPr="004B5F13">
              <w:t xml:space="preserve"> kBTU/h, 12.5 EER and 14 IEER</w:t>
            </w:r>
          </w:p>
        </w:tc>
      </w:tr>
      <w:tr w:rsidR="000C0ABA" w:rsidRPr="00E35C55" w14:paraId="61475455" w14:textId="77777777" w:rsidTr="000C0ABA">
        <w:trPr>
          <w:trHeight w:val="300"/>
        </w:trPr>
        <w:tc>
          <w:tcPr>
            <w:tcW w:w="1465" w:type="dxa"/>
          </w:tcPr>
          <w:p w14:paraId="4BD8D511" w14:textId="15A3F07A" w:rsidR="000C0ABA" w:rsidRPr="001823AC" w:rsidRDefault="000C0ABA" w:rsidP="000C0ABA">
            <w:pPr>
              <w:spacing w:before="0" w:after="0" w:line="240" w:lineRule="auto"/>
              <w:rPr>
                <w:rFonts w:cs="Calibri Light"/>
                <w:sz w:val="20"/>
                <w:szCs w:val="20"/>
              </w:rPr>
            </w:pPr>
            <w:r w:rsidRPr="009018E0">
              <w:t>SWHC013H</w:t>
            </w:r>
          </w:p>
        </w:tc>
        <w:tc>
          <w:tcPr>
            <w:tcW w:w="3143" w:type="dxa"/>
            <w:shd w:val="clear" w:color="auto" w:fill="auto"/>
            <w:noWrap/>
          </w:tcPr>
          <w:p w14:paraId="5872DAB9" w14:textId="7916659F" w:rsidR="000C0ABA" w:rsidRDefault="000C0ABA" w:rsidP="000C0ABA">
            <w:pPr>
              <w:spacing w:before="0" w:after="0" w:line="240" w:lineRule="auto"/>
              <w:rPr>
                <w:rStyle w:val="CommentReference"/>
              </w:rPr>
            </w:pPr>
            <w:r w:rsidRPr="00ED1ABD">
              <w:t>NE-HVAC-airAC-SpltPkg-240to759kBtuh-10p8eer</w:t>
            </w:r>
          </w:p>
        </w:tc>
        <w:tc>
          <w:tcPr>
            <w:tcW w:w="5127" w:type="dxa"/>
            <w:shd w:val="clear" w:color="auto" w:fill="auto"/>
            <w:noWrap/>
          </w:tcPr>
          <w:p w14:paraId="493DC1F9" w14:textId="416E27B8" w:rsidR="000C0ABA" w:rsidRPr="001823AC" w:rsidRDefault="000C0ABA" w:rsidP="000C0ABA">
            <w:pPr>
              <w:spacing w:before="0" w:after="0" w:line="240" w:lineRule="auto"/>
              <w:rPr>
                <w:rFonts w:cs="Calibri Light"/>
                <w:color w:val="000000"/>
                <w:sz w:val="20"/>
                <w:szCs w:val="20"/>
              </w:rPr>
            </w:pPr>
            <w:r w:rsidRPr="004B5F13">
              <w:t>Unitary Air-Cooled A/C, Commercial, 240 - 7</w:t>
            </w:r>
            <w:r w:rsidR="00F828D7">
              <w:t>59</w:t>
            </w:r>
            <w:r w:rsidRPr="004B5F13">
              <w:t xml:space="preserve"> kBTU/h, 10.8 EER and 12.2 IEER</w:t>
            </w:r>
          </w:p>
        </w:tc>
      </w:tr>
      <w:tr w:rsidR="000C0ABA" w:rsidRPr="00E35C55" w14:paraId="6A077A19" w14:textId="77777777" w:rsidTr="000C0ABA">
        <w:trPr>
          <w:trHeight w:val="300"/>
        </w:trPr>
        <w:tc>
          <w:tcPr>
            <w:tcW w:w="1465" w:type="dxa"/>
          </w:tcPr>
          <w:p w14:paraId="087B29C8" w14:textId="2DBB6CDA" w:rsidR="000C0ABA" w:rsidRPr="001823AC" w:rsidRDefault="000C0ABA" w:rsidP="000C0ABA">
            <w:pPr>
              <w:spacing w:before="0" w:after="0" w:line="240" w:lineRule="auto"/>
              <w:rPr>
                <w:rFonts w:cs="Calibri Light"/>
                <w:sz w:val="20"/>
                <w:szCs w:val="20"/>
              </w:rPr>
            </w:pPr>
            <w:r w:rsidRPr="009018E0">
              <w:t>SWHC013I</w:t>
            </w:r>
          </w:p>
        </w:tc>
        <w:tc>
          <w:tcPr>
            <w:tcW w:w="3143" w:type="dxa"/>
            <w:shd w:val="clear" w:color="auto" w:fill="auto"/>
            <w:noWrap/>
          </w:tcPr>
          <w:p w14:paraId="77FE9C85" w14:textId="6B456FE8" w:rsidR="000C0ABA" w:rsidRDefault="000C0ABA" w:rsidP="000C0ABA">
            <w:pPr>
              <w:spacing w:before="0" w:after="0" w:line="240" w:lineRule="auto"/>
              <w:rPr>
                <w:rStyle w:val="CommentReference"/>
              </w:rPr>
            </w:pPr>
            <w:r w:rsidRPr="00ED1ABD">
              <w:t>NE-HVAC-airAC-SpltPkg-240to759kBtuh-11p5eer</w:t>
            </w:r>
          </w:p>
        </w:tc>
        <w:tc>
          <w:tcPr>
            <w:tcW w:w="5127" w:type="dxa"/>
            <w:shd w:val="clear" w:color="auto" w:fill="auto"/>
            <w:noWrap/>
          </w:tcPr>
          <w:p w14:paraId="7DC7835D" w14:textId="39F6A4A5" w:rsidR="000C0ABA" w:rsidRPr="001823AC" w:rsidRDefault="000C0ABA" w:rsidP="000C0ABA">
            <w:pPr>
              <w:spacing w:before="0" w:after="0" w:line="240" w:lineRule="auto"/>
              <w:rPr>
                <w:rFonts w:cs="Calibri Light"/>
                <w:color w:val="000000"/>
                <w:sz w:val="20"/>
                <w:szCs w:val="20"/>
              </w:rPr>
            </w:pPr>
            <w:r w:rsidRPr="004B5F13">
              <w:t>Unitary Air-Cooled A/C, Commercial, 240 - 7</w:t>
            </w:r>
            <w:r w:rsidR="00F828D7">
              <w:t>59</w:t>
            </w:r>
            <w:r w:rsidRPr="004B5F13">
              <w:t xml:space="preserve"> kBTU/h, 11.5 EER and 12.7 IEER</w:t>
            </w:r>
          </w:p>
        </w:tc>
      </w:tr>
      <w:tr w:rsidR="000C0ABA" w:rsidRPr="00E35C55" w14:paraId="5D24EAFC" w14:textId="77777777" w:rsidTr="000C0ABA">
        <w:trPr>
          <w:trHeight w:val="300"/>
        </w:trPr>
        <w:tc>
          <w:tcPr>
            <w:tcW w:w="1465" w:type="dxa"/>
          </w:tcPr>
          <w:p w14:paraId="3BE3FFE7" w14:textId="00D84CD6" w:rsidR="000C0ABA" w:rsidRPr="001823AC" w:rsidRDefault="000C0ABA" w:rsidP="000C0ABA">
            <w:pPr>
              <w:spacing w:before="0" w:after="0" w:line="240" w:lineRule="auto"/>
              <w:rPr>
                <w:rFonts w:cs="Calibri Light"/>
                <w:sz w:val="20"/>
                <w:szCs w:val="20"/>
              </w:rPr>
            </w:pPr>
            <w:r w:rsidRPr="009018E0">
              <w:t>SWHC013J</w:t>
            </w:r>
          </w:p>
        </w:tc>
        <w:tc>
          <w:tcPr>
            <w:tcW w:w="3143" w:type="dxa"/>
            <w:shd w:val="clear" w:color="auto" w:fill="auto"/>
            <w:noWrap/>
          </w:tcPr>
          <w:p w14:paraId="34DD0D32" w14:textId="61E30DE4" w:rsidR="000C0ABA" w:rsidRDefault="000C0ABA" w:rsidP="000C0ABA">
            <w:pPr>
              <w:spacing w:before="0" w:after="0" w:line="240" w:lineRule="auto"/>
              <w:rPr>
                <w:rStyle w:val="CommentReference"/>
              </w:rPr>
            </w:pPr>
            <w:r w:rsidRPr="00ED1ABD">
              <w:t>NE-HVAC-airAC-SpltPkg-240to759kBtuh-12p5eer</w:t>
            </w:r>
          </w:p>
        </w:tc>
        <w:tc>
          <w:tcPr>
            <w:tcW w:w="5127" w:type="dxa"/>
            <w:shd w:val="clear" w:color="auto" w:fill="auto"/>
            <w:noWrap/>
          </w:tcPr>
          <w:p w14:paraId="1F500D8F" w14:textId="46172FDF" w:rsidR="000C0ABA" w:rsidRPr="001823AC" w:rsidRDefault="000C0ABA" w:rsidP="000C0ABA">
            <w:pPr>
              <w:spacing w:before="0" w:after="0" w:line="240" w:lineRule="auto"/>
              <w:rPr>
                <w:rFonts w:cs="Calibri Light"/>
                <w:color w:val="000000"/>
                <w:sz w:val="20"/>
                <w:szCs w:val="20"/>
              </w:rPr>
            </w:pPr>
            <w:r w:rsidRPr="004B5F13">
              <w:t>Unitary Air-Cooled A/C, Commercial, 240 - 7</w:t>
            </w:r>
            <w:r w:rsidR="00F828D7">
              <w:t>59</w:t>
            </w:r>
            <w:r w:rsidRPr="004B5F13">
              <w:t xml:space="preserve"> kBTU/h, 12.5 EER and 15.5 IEER</w:t>
            </w:r>
          </w:p>
        </w:tc>
      </w:tr>
      <w:tr w:rsidR="000C0ABA" w:rsidRPr="00E35C55" w14:paraId="744C290C" w14:textId="77777777" w:rsidTr="000C0ABA">
        <w:trPr>
          <w:trHeight w:val="300"/>
        </w:trPr>
        <w:tc>
          <w:tcPr>
            <w:tcW w:w="1465" w:type="dxa"/>
          </w:tcPr>
          <w:p w14:paraId="6C579CB0" w14:textId="72B68CAE" w:rsidR="000C0ABA" w:rsidRPr="001823AC" w:rsidRDefault="000C0ABA" w:rsidP="000C0ABA">
            <w:pPr>
              <w:spacing w:before="0" w:after="0" w:line="240" w:lineRule="auto"/>
              <w:rPr>
                <w:rFonts w:cs="Calibri Light"/>
                <w:sz w:val="20"/>
                <w:szCs w:val="20"/>
              </w:rPr>
            </w:pPr>
            <w:r w:rsidRPr="009018E0">
              <w:t>SWHC013K</w:t>
            </w:r>
          </w:p>
        </w:tc>
        <w:tc>
          <w:tcPr>
            <w:tcW w:w="3143" w:type="dxa"/>
            <w:shd w:val="clear" w:color="auto" w:fill="auto"/>
            <w:noWrap/>
          </w:tcPr>
          <w:p w14:paraId="7822EF4A" w14:textId="2816B19C" w:rsidR="000C0ABA" w:rsidRDefault="000C0ABA" w:rsidP="000C0ABA">
            <w:pPr>
              <w:spacing w:before="0" w:after="0" w:line="240" w:lineRule="auto"/>
              <w:rPr>
                <w:rStyle w:val="CommentReference"/>
              </w:rPr>
            </w:pPr>
            <w:r w:rsidRPr="00963A3A">
              <w:t>NE-HVAC-airAC-SpltPkg-gte760kBtuh-10p2eer</w:t>
            </w:r>
          </w:p>
        </w:tc>
        <w:tc>
          <w:tcPr>
            <w:tcW w:w="5127" w:type="dxa"/>
            <w:shd w:val="clear" w:color="auto" w:fill="auto"/>
            <w:noWrap/>
          </w:tcPr>
          <w:p w14:paraId="6F42E4B0" w14:textId="0BA6172A" w:rsidR="000C0ABA" w:rsidRPr="001823AC" w:rsidRDefault="000C0ABA" w:rsidP="000C0ABA">
            <w:pPr>
              <w:spacing w:before="0" w:after="0" w:line="240" w:lineRule="auto"/>
              <w:rPr>
                <w:rFonts w:cs="Calibri Light"/>
                <w:color w:val="000000"/>
                <w:sz w:val="20"/>
                <w:szCs w:val="20"/>
              </w:rPr>
            </w:pPr>
            <w:r w:rsidRPr="004B5F13">
              <w:t>Unitary Air-Cooled A/C, Commercial, &gt; 760 kBTU/h, 10.2 EER and 11.6 IEER</w:t>
            </w:r>
          </w:p>
        </w:tc>
      </w:tr>
      <w:tr w:rsidR="000C0ABA" w:rsidRPr="00E35C55" w14:paraId="4E9B9392" w14:textId="77777777" w:rsidTr="000C0ABA">
        <w:trPr>
          <w:trHeight w:val="300"/>
        </w:trPr>
        <w:tc>
          <w:tcPr>
            <w:tcW w:w="1465" w:type="dxa"/>
          </w:tcPr>
          <w:p w14:paraId="28CFADF8" w14:textId="2F3D7D72" w:rsidR="000C0ABA" w:rsidRPr="001823AC" w:rsidRDefault="000C0ABA" w:rsidP="000C0ABA">
            <w:pPr>
              <w:spacing w:before="0" w:after="0" w:line="240" w:lineRule="auto"/>
              <w:rPr>
                <w:rFonts w:cs="Calibri Light"/>
                <w:sz w:val="20"/>
                <w:szCs w:val="20"/>
              </w:rPr>
            </w:pPr>
            <w:r w:rsidRPr="009018E0">
              <w:t>SWHC013L</w:t>
            </w:r>
          </w:p>
        </w:tc>
        <w:tc>
          <w:tcPr>
            <w:tcW w:w="3143" w:type="dxa"/>
            <w:shd w:val="clear" w:color="auto" w:fill="auto"/>
            <w:noWrap/>
          </w:tcPr>
          <w:p w14:paraId="4251B944" w14:textId="09A876A8" w:rsidR="000C0ABA" w:rsidRDefault="000C0ABA" w:rsidP="000C0ABA">
            <w:pPr>
              <w:spacing w:before="0" w:after="0" w:line="240" w:lineRule="auto"/>
              <w:rPr>
                <w:rStyle w:val="CommentReference"/>
              </w:rPr>
            </w:pPr>
            <w:r w:rsidRPr="00963A3A">
              <w:t>NE-HVAC-airAC-SpltPkg-gte760kBtuh-11p0eer</w:t>
            </w:r>
          </w:p>
        </w:tc>
        <w:tc>
          <w:tcPr>
            <w:tcW w:w="5127" w:type="dxa"/>
            <w:shd w:val="clear" w:color="auto" w:fill="auto"/>
            <w:noWrap/>
          </w:tcPr>
          <w:p w14:paraId="543D4C0E" w14:textId="243A5BB8" w:rsidR="000C0ABA" w:rsidRPr="001823AC" w:rsidRDefault="000C0ABA" w:rsidP="000C0ABA">
            <w:pPr>
              <w:spacing w:before="0" w:after="0" w:line="240" w:lineRule="auto"/>
              <w:rPr>
                <w:rFonts w:cs="Calibri Light"/>
                <w:color w:val="000000"/>
                <w:sz w:val="20"/>
                <w:szCs w:val="20"/>
              </w:rPr>
            </w:pPr>
            <w:r w:rsidRPr="004B5F13">
              <w:t>Unitary Air-Cooled A/C, Commercial, &gt; 760 kBTU/h, 11 EER and 12.3 IEER</w:t>
            </w:r>
          </w:p>
        </w:tc>
      </w:tr>
      <w:tr w:rsidR="000C0ABA" w:rsidRPr="00E35C55" w14:paraId="0AE98211" w14:textId="77777777" w:rsidTr="000C0ABA">
        <w:trPr>
          <w:trHeight w:val="300"/>
        </w:trPr>
        <w:tc>
          <w:tcPr>
            <w:tcW w:w="1465" w:type="dxa"/>
          </w:tcPr>
          <w:p w14:paraId="417923C0" w14:textId="64A53CD5" w:rsidR="000C0ABA" w:rsidRPr="001823AC" w:rsidRDefault="000C0ABA" w:rsidP="000C0ABA">
            <w:pPr>
              <w:spacing w:before="0" w:after="0" w:line="240" w:lineRule="auto"/>
              <w:rPr>
                <w:rFonts w:cs="Calibri Light"/>
                <w:sz w:val="20"/>
                <w:szCs w:val="20"/>
              </w:rPr>
            </w:pPr>
            <w:r w:rsidRPr="009018E0">
              <w:t>SWHC013M</w:t>
            </w:r>
          </w:p>
        </w:tc>
        <w:tc>
          <w:tcPr>
            <w:tcW w:w="3143" w:type="dxa"/>
            <w:shd w:val="clear" w:color="auto" w:fill="auto"/>
            <w:noWrap/>
          </w:tcPr>
          <w:p w14:paraId="5F5D632D" w14:textId="1EDCBB5D" w:rsidR="000C0ABA" w:rsidRDefault="000C0ABA" w:rsidP="000C0ABA">
            <w:pPr>
              <w:spacing w:before="0" w:after="0" w:line="240" w:lineRule="auto"/>
              <w:rPr>
                <w:rStyle w:val="CommentReference"/>
              </w:rPr>
            </w:pPr>
            <w:r w:rsidRPr="00963A3A">
              <w:t>NE-HVAC-airAC-SpltPkg-gte760kBtuh-12p0eer</w:t>
            </w:r>
          </w:p>
        </w:tc>
        <w:tc>
          <w:tcPr>
            <w:tcW w:w="5127" w:type="dxa"/>
            <w:shd w:val="clear" w:color="auto" w:fill="auto"/>
            <w:noWrap/>
          </w:tcPr>
          <w:p w14:paraId="1CB29ACE" w14:textId="676DD9B4" w:rsidR="000C0ABA" w:rsidRPr="001823AC" w:rsidRDefault="000C0ABA" w:rsidP="000C0ABA">
            <w:pPr>
              <w:spacing w:before="0" w:after="0" w:line="240" w:lineRule="auto"/>
              <w:rPr>
                <w:rFonts w:cs="Calibri Light"/>
                <w:color w:val="000000"/>
                <w:sz w:val="20"/>
                <w:szCs w:val="20"/>
              </w:rPr>
            </w:pPr>
            <w:r w:rsidRPr="004B5F13">
              <w:t>Unitary Air-Cooled A/C, Commercial, &gt; 760 kBTU/h, 12 EER and 13.8 IEER</w:t>
            </w:r>
          </w:p>
        </w:tc>
      </w:tr>
      <w:tr w:rsidR="00812CBA" w:rsidRPr="00E35C55" w14:paraId="145644C3" w14:textId="77777777" w:rsidTr="000C0ABA">
        <w:trPr>
          <w:trHeight w:val="300"/>
        </w:trPr>
        <w:tc>
          <w:tcPr>
            <w:tcW w:w="1465" w:type="dxa"/>
          </w:tcPr>
          <w:p w14:paraId="558DBFB7" w14:textId="552CFD73" w:rsidR="00812CBA" w:rsidRPr="009018E0" w:rsidRDefault="00812CBA" w:rsidP="000C0ABA">
            <w:pPr>
              <w:spacing w:before="0" w:after="0" w:line="240" w:lineRule="auto"/>
            </w:pPr>
            <w:r>
              <w:t>SWHC013N</w:t>
            </w:r>
          </w:p>
        </w:tc>
        <w:tc>
          <w:tcPr>
            <w:tcW w:w="3143" w:type="dxa"/>
            <w:shd w:val="clear" w:color="auto" w:fill="auto"/>
            <w:noWrap/>
          </w:tcPr>
          <w:p w14:paraId="3A00ABB8" w14:textId="0B804FAA" w:rsidR="00812CBA" w:rsidRPr="00963A3A" w:rsidRDefault="00AE7E38" w:rsidP="000C0ABA">
            <w:pPr>
              <w:spacing w:before="0" w:after="0" w:line="240" w:lineRule="auto"/>
            </w:pPr>
            <w:r w:rsidRPr="00AE7E38">
              <w:t>NE-HVAC-airHP-SpltPkg-65to134kBtuh-1</w:t>
            </w:r>
            <w:r>
              <w:t>1</w:t>
            </w:r>
            <w:r w:rsidRPr="00AE7E38">
              <w:t>p</w:t>
            </w:r>
            <w:r>
              <w:t>5</w:t>
            </w:r>
            <w:r w:rsidRPr="00AE7E38">
              <w:t>eer-3p4cop</w:t>
            </w:r>
          </w:p>
        </w:tc>
        <w:tc>
          <w:tcPr>
            <w:tcW w:w="5127" w:type="dxa"/>
            <w:shd w:val="clear" w:color="auto" w:fill="auto"/>
            <w:noWrap/>
          </w:tcPr>
          <w:p w14:paraId="46C87C53" w14:textId="7D4A52CA" w:rsidR="00812CBA" w:rsidRPr="004B5F13" w:rsidRDefault="00E1683B" w:rsidP="000C0ABA">
            <w:pPr>
              <w:spacing w:before="0" w:after="0" w:line="240" w:lineRule="auto"/>
            </w:pPr>
            <w:r>
              <w:t>Unitary Air-Source H/P, Commercial, 65-13</w:t>
            </w:r>
            <w:r w:rsidR="007D73DF">
              <w:t>4</w:t>
            </w:r>
            <w:r>
              <w:t xml:space="preserve"> kBTU/h,</w:t>
            </w:r>
            <w:r w:rsidR="00324EF5">
              <w:t xml:space="preserve"> 11.5 </w:t>
            </w:r>
            <w:r w:rsidR="007533F8">
              <w:t xml:space="preserve">EER </w:t>
            </w:r>
            <w:r w:rsidR="00324EF5">
              <w:t>and 3.4 COP</w:t>
            </w:r>
          </w:p>
        </w:tc>
      </w:tr>
      <w:tr w:rsidR="00812CBA" w:rsidRPr="00E35C55" w14:paraId="11A83633" w14:textId="77777777" w:rsidTr="000C0ABA">
        <w:trPr>
          <w:trHeight w:val="300"/>
        </w:trPr>
        <w:tc>
          <w:tcPr>
            <w:tcW w:w="1465" w:type="dxa"/>
          </w:tcPr>
          <w:p w14:paraId="4C98A0B1" w14:textId="3A040EB0" w:rsidR="00812CBA" w:rsidRPr="009018E0" w:rsidRDefault="00812CBA" w:rsidP="000C0ABA">
            <w:pPr>
              <w:spacing w:before="0" w:after="0" w:line="240" w:lineRule="auto"/>
            </w:pPr>
            <w:r>
              <w:t>SWHC013O</w:t>
            </w:r>
          </w:p>
        </w:tc>
        <w:tc>
          <w:tcPr>
            <w:tcW w:w="3143" w:type="dxa"/>
            <w:shd w:val="clear" w:color="auto" w:fill="auto"/>
            <w:noWrap/>
          </w:tcPr>
          <w:p w14:paraId="16597474" w14:textId="29B137C5" w:rsidR="00812CBA" w:rsidRPr="00963A3A" w:rsidRDefault="00AE7E38" w:rsidP="000C0ABA">
            <w:pPr>
              <w:spacing w:before="0" w:after="0" w:line="240" w:lineRule="auto"/>
            </w:pPr>
            <w:r w:rsidRPr="00AE7E38">
              <w:t>NE-HVAC-airHP-SpltPkg-65to134kBtuh-12p0eer-3p4cop</w:t>
            </w:r>
          </w:p>
        </w:tc>
        <w:tc>
          <w:tcPr>
            <w:tcW w:w="5127" w:type="dxa"/>
            <w:shd w:val="clear" w:color="auto" w:fill="auto"/>
            <w:noWrap/>
          </w:tcPr>
          <w:p w14:paraId="00D54AEE" w14:textId="505CF211" w:rsidR="00812CBA" w:rsidRPr="004B5F13" w:rsidRDefault="007533F8" w:rsidP="000C0ABA">
            <w:pPr>
              <w:spacing w:before="0" w:after="0" w:line="240" w:lineRule="auto"/>
            </w:pPr>
            <w:r>
              <w:t>Unitary Air-Source H/P, Commercial, 65-13</w:t>
            </w:r>
            <w:r w:rsidR="007D73DF">
              <w:t>4</w:t>
            </w:r>
            <w:r>
              <w:t xml:space="preserve"> kBTU/h, 12.0 EER and 3.4 COP</w:t>
            </w:r>
          </w:p>
        </w:tc>
      </w:tr>
      <w:tr w:rsidR="00812CBA" w:rsidRPr="00E35C55" w14:paraId="73F981B0" w14:textId="77777777" w:rsidTr="000C0ABA">
        <w:trPr>
          <w:trHeight w:val="300"/>
        </w:trPr>
        <w:tc>
          <w:tcPr>
            <w:tcW w:w="1465" w:type="dxa"/>
          </w:tcPr>
          <w:p w14:paraId="7D33FCAB" w14:textId="48B4594B" w:rsidR="00812CBA" w:rsidRPr="009018E0" w:rsidRDefault="00812CBA" w:rsidP="000C0ABA">
            <w:pPr>
              <w:spacing w:before="0" w:after="0" w:line="240" w:lineRule="auto"/>
            </w:pPr>
            <w:r>
              <w:t>SWHC013P</w:t>
            </w:r>
          </w:p>
        </w:tc>
        <w:tc>
          <w:tcPr>
            <w:tcW w:w="3143" w:type="dxa"/>
            <w:shd w:val="clear" w:color="auto" w:fill="auto"/>
            <w:noWrap/>
          </w:tcPr>
          <w:p w14:paraId="4E713607" w14:textId="30ED1964" w:rsidR="00812CBA" w:rsidRPr="00963A3A" w:rsidRDefault="00D438D3" w:rsidP="000C0ABA">
            <w:pPr>
              <w:spacing w:before="0" w:after="0" w:line="240" w:lineRule="auto"/>
            </w:pPr>
            <w:r w:rsidRPr="00D438D3">
              <w:t>NE-HVAC-airHP-SpltPkg-135to239kBtuh-11p5eer-3p2cop</w:t>
            </w:r>
          </w:p>
        </w:tc>
        <w:tc>
          <w:tcPr>
            <w:tcW w:w="5127" w:type="dxa"/>
            <w:shd w:val="clear" w:color="auto" w:fill="auto"/>
            <w:noWrap/>
          </w:tcPr>
          <w:p w14:paraId="68327D30" w14:textId="45775A71" w:rsidR="00812CBA" w:rsidRPr="004B5F13" w:rsidRDefault="007D73DF" w:rsidP="000C0ABA">
            <w:pPr>
              <w:spacing w:before="0" w:after="0" w:line="240" w:lineRule="auto"/>
            </w:pPr>
            <w:r>
              <w:t>Unitary Air-Source H/P, Commercial, 135-</w:t>
            </w:r>
            <w:r w:rsidR="00A00C11">
              <w:t>239</w:t>
            </w:r>
            <w:r>
              <w:t xml:space="preserve"> kBTU/h, 1</w:t>
            </w:r>
            <w:r w:rsidR="00A00C11">
              <w:t>1</w:t>
            </w:r>
            <w:r>
              <w:t>.</w:t>
            </w:r>
            <w:r w:rsidR="00A00C11">
              <w:t>5</w:t>
            </w:r>
            <w:r>
              <w:t xml:space="preserve"> EER and 3.</w:t>
            </w:r>
            <w:r w:rsidR="00A00C11">
              <w:t>2</w:t>
            </w:r>
            <w:r>
              <w:t xml:space="preserve"> COP</w:t>
            </w:r>
          </w:p>
        </w:tc>
      </w:tr>
      <w:tr w:rsidR="00812CBA" w:rsidRPr="00E35C55" w14:paraId="11E1CE9B" w14:textId="77777777" w:rsidTr="000C0ABA">
        <w:trPr>
          <w:trHeight w:val="300"/>
        </w:trPr>
        <w:tc>
          <w:tcPr>
            <w:tcW w:w="1465" w:type="dxa"/>
          </w:tcPr>
          <w:p w14:paraId="45F12251" w14:textId="49D2668A" w:rsidR="00812CBA" w:rsidRPr="009018E0" w:rsidRDefault="00812CBA" w:rsidP="000C0ABA">
            <w:pPr>
              <w:spacing w:before="0" w:after="0" w:line="240" w:lineRule="auto"/>
            </w:pPr>
            <w:r>
              <w:lastRenderedPageBreak/>
              <w:t>SWHC013Q</w:t>
            </w:r>
          </w:p>
        </w:tc>
        <w:tc>
          <w:tcPr>
            <w:tcW w:w="3143" w:type="dxa"/>
            <w:shd w:val="clear" w:color="auto" w:fill="auto"/>
            <w:noWrap/>
          </w:tcPr>
          <w:p w14:paraId="4EBE4E1F" w14:textId="64CE1FF1" w:rsidR="00812CBA" w:rsidRPr="00963A3A" w:rsidRDefault="00D438D3" w:rsidP="000C0ABA">
            <w:pPr>
              <w:spacing w:before="0" w:after="0" w:line="240" w:lineRule="auto"/>
            </w:pPr>
            <w:r w:rsidRPr="00D438D3">
              <w:t>NE-HVAC-airHP-SpltPkg-135to239kBtuh-12p0eer-3p2cop</w:t>
            </w:r>
          </w:p>
        </w:tc>
        <w:tc>
          <w:tcPr>
            <w:tcW w:w="5127" w:type="dxa"/>
            <w:shd w:val="clear" w:color="auto" w:fill="auto"/>
            <w:noWrap/>
          </w:tcPr>
          <w:p w14:paraId="75C7ED26" w14:textId="6CD37C9F" w:rsidR="00812CBA" w:rsidRPr="004B5F13" w:rsidRDefault="00A00C11" w:rsidP="000C0ABA">
            <w:pPr>
              <w:spacing w:before="0" w:after="0" w:line="240" w:lineRule="auto"/>
            </w:pPr>
            <w:r>
              <w:t>Unitary Air-Source H/P, Commercial, 135-239 kBTU/h, 12.0 EER and 3.2 COP</w:t>
            </w:r>
          </w:p>
        </w:tc>
      </w:tr>
      <w:tr w:rsidR="00812CBA" w:rsidRPr="00E35C55" w14:paraId="650D8B3E" w14:textId="77777777" w:rsidTr="000C0ABA">
        <w:trPr>
          <w:trHeight w:val="300"/>
        </w:trPr>
        <w:tc>
          <w:tcPr>
            <w:tcW w:w="1465" w:type="dxa"/>
          </w:tcPr>
          <w:p w14:paraId="1EBFD745" w14:textId="27B4A33C" w:rsidR="00812CBA" w:rsidRPr="009018E0" w:rsidRDefault="00812CBA" w:rsidP="000C0ABA">
            <w:pPr>
              <w:spacing w:before="0" w:after="0" w:line="240" w:lineRule="auto"/>
            </w:pPr>
            <w:r>
              <w:t>SWHC013R</w:t>
            </w:r>
          </w:p>
        </w:tc>
        <w:tc>
          <w:tcPr>
            <w:tcW w:w="3143" w:type="dxa"/>
            <w:shd w:val="clear" w:color="auto" w:fill="auto"/>
            <w:noWrap/>
          </w:tcPr>
          <w:p w14:paraId="40B22611" w14:textId="41ACDCEE" w:rsidR="00812CBA" w:rsidRPr="00963A3A" w:rsidRDefault="005C68AA" w:rsidP="000C0ABA">
            <w:pPr>
              <w:spacing w:before="0" w:after="0" w:line="240" w:lineRule="auto"/>
            </w:pPr>
            <w:r w:rsidRPr="005C68AA">
              <w:t>NE-HVAC-airHP-SpltPkg-240to759kBtuh-10p5eer-3p2cop</w:t>
            </w:r>
          </w:p>
        </w:tc>
        <w:tc>
          <w:tcPr>
            <w:tcW w:w="5127" w:type="dxa"/>
            <w:shd w:val="clear" w:color="auto" w:fill="auto"/>
            <w:noWrap/>
          </w:tcPr>
          <w:p w14:paraId="0D6B3644" w14:textId="031F885F" w:rsidR="00812CBA" w:rsidRPr="004B5F13" w:rsidRDefault="00B16036" w:rsidP="000C0ABA">
            <w:pPr>
              <w:spacing w:before="0" w:after="0" w:line="240" w:lineRule="auto"/>
            </w:pPr>
            <w:r>
              <w:t>Unitary Air-Source H/P, Commercial, 240-759 kBTU/h, 10.5 EER and 3.2 COP</w:t>
            </w:r>
          </w:p>
        </w:tc>
      </w:tr>
      <w:tr w:rsidR="00812CBA" w:rsidRPr="00E35C55" w14:paraId="5E81E3E6" w14:textId="77777777" w:rsidTr="000C0ABA">
        <w:trPr>
          <w:trHeight w:val="300"/>
        </w:trPr>
        <w:tc>
          <w:tcPr>
            <w:tcW w:w="1465" w:type="dxa"/>
          </w:tcPr>
          <w:p w14:paraId="53A3C0BC" w14:textId="57E70C3D" w:rsidR="00812CBA" w:rsidRPr="009018E0" w:rsidRDefault="00812CBA" w:rsidP="000C0ABA">
            <w:pPr>
              <w:spacing w:before="0" w:after="0" w:line="240" w:lineRule="auto"/>
            </w:pPr>
            <w:r>
              <w:t>SWHC013S</w:t>
            </w:r>
          </w:p>
        </w:tc>
        <w:tc>
          <w:tcPr>
            <w:tcW w:w="3143" w:type="dxa"/>
            <w:shd w:val="clear" w:color="auto" w:fill="auto"/>
            <w:noWrap/>
          </w:tcPr>
          <w:p w14:paraId="4C25C5C3" w14:textId="6A2286B9" w:rsidR="00812CBA" w:rsidRPr="00963A3A" w:rsidRDefault="005C68AA" w:rsidP="000C0ABA">
            <w:pPr>
              <w:spacing w:before="0" w:after="0" w:line="240" w:lineRule="auto"/>
            </w:pPr>
            <w:r w:rsidRPr="005C68AA">
              <w:t>NE-HVAC-airHP-SpltPkg-240to759kBtuh-10p8eer-3p2cop</w:t>
            </w:r>
          </w:p>
        </w:tc>
        <w:tc>
          <w:tcPr>
            <w:tcW w:w="5127" w:type="dxa"/>
            <w:shd w:val="clear" w:color="auto" w:fill="auto"/>
            <w:noWrap/>
          </w:tcPr>
          <w:p w14:paraId="60209F08" w14:textId="21A03FEA" w:rsidR="00812CBA" w:rsidRPr="004B5F13" w:rsidRDefault="00B16036" w:rsidP="000C0ABA">
            <w:pPr>
              <w:spacing w:before="0" w:after="0" w:line="240" w:lineRule="auto"/>
            </w:pPr>
            <w:r>
              <w:t>Unitary Air-Source H/P, Commercial, 240-759 kBTU/h, 10.5 EER and 3.2 COP</w:t>
            </w:r>
          </w:p>
        </w:tc>
      </w:tr>
    </w:tbl>
    <w:p w14:paraId="3C715BF8" w14:textId="77777777" w:rsidR="000C0ABA" w:rsidRDefault="000C0ABA" w:rsidP="008315E6"/>
    <w:p w14:paraId="3036B030" w14:textId="220946A8" w:rsidR="00F9194F" w:rsidRPr="003B6914" w:rsidRDefault="003B6914" w:rsidP="003B6914">
      <w:pPr>
        <w:spacing w:line="0" w:lineRule="atLeast"/>
      </w:pPr>
      <w:r>
        <w:rPr>
          <w:b/>
        </w:rPr>
        <w:t xml:space="preserve">To-code Savings Portion Measures. </w:t>
      </w:r>
      <w:r>
        <w:t xml:space="preserve">The to-code savings portion measure offerings designated for this measure represent the energy savings that result from retrofitting existing equipment to code-compliant </w:t>
      </w:r>
      <w:r w:rsidRPr="00352193">
        <w:t>equipment. The to-code savings were determined by subtracting the “AStdWB” savings from the “APreWB” savings for the above-code ACs and HPs. The result was the difference between customer</w:t>
      </w:r>
      <w:r>
        <w:t xml:space="preserve"> existing equipment and above-code equipment. </w:t>
      </w:r>
    </w:p>
    <w:p w14:paraId="6AEEDBF1" w14:textId="699F8FFC" w:rsidR="00B1736E" w:rsidRDefault="00F9194F" w:rsidP="00B1736E">
      <w:r>
        <w:rPr>
          <w:b/>
          <w:bCs/>
        </w:rPr>
        <w:t xml:space="preserve">Hours of Operation. </w:t>
      </w:r>
      <w:r>
        <w:t xml:space="preserve">The hours of operation are not applicable for this type of measure. The savings values used were downloaded from </w:t>
      </w:r>
      <w:r w:rsidR="00764B2D">
        <w:t xml:space="preserve">DEER2020 </w:t>
      </w:r>
      <w:r>
        <w:t xml:space="preserve">directly. All </w:t>
      </w:r>
      <w:r w:rsidR="00B1736E">
        <w:t>measure offerings designated for this measure</w:t>
      </w:r>
      <w:r>
        <w:t xml:space="preserve"> have a wide range of equivalent full load hours (EFLH) </w:t>
      </w:r>
      <w:r w:rsidR="00B1736E">
        <w:t>that</w:t>
      </w:r>
      <w:r>
        <w:t xml:space="preserve"> </w:t>
      </w:r>
      <w:r w:rsidR="00B1736E">
        <w:t>vary</w:t>
      </w:r>
      <w:r>
        <w:t xml:space="preserve"> </w:t>
      </w:r>
      <w:r w:rsidR="00B1736E">
        <w:t>by</w:t>
      </w:r>
      <w:r>
        <w:t xml:space="preserve"> climate zone, building type, and building vintage. Since DEER data was used for the calculation of energy impacts, the hours of operation are embedded in those values. DEER simulations calculate the values based on the use of building vintages for each climate zone that are then weighted by the climate zone specific distribution of the vintages to get values for Existing (Ex).</w:t>
      </w:r>
    </w:p>
    <w:p w14:paraId="53AFC87B" w14:textId="3D4C0CEB" w:rsidR="00805931" w:rsidRPr="00805931" w:rsidRDefault="00805931" w:rsidP="001B7A7D">
      <w:r w:rsidRPr="00805931">
        <w:rPr>
          <w:b/>
          <w:bCs/>
          <w:szCs w:val="22"/>
        </w:rPr>
        <w:t xml:space="preserve">IEER Rating Update. </w:t>
      </w:r>
      <w:r w:rsidRPr="00805931">
        <w:t xml:space="preserve">The IEER values published in the Technology Definitions for the DEER2016 Update were calculated based on typical expected operation. These values did not always correspond with the rated IEER values published by the equipment manufacturers. For the DEER2017 update, manufacturer </w:t>
      </w:r>
      <w:r w:rsidRPr="00352193">
        <w:t>rated IEER values were collected and applied to the Technology Definitions.</w:t>
      </w:r>
      <w:r w:rsidR="001510BB">
        <w:t xml:space="preserve"> Those same definitions were included in the DEER2020 update</w:t>
      </w:r>
    </w:p>
    <w:p w14:paraId="749DB778" w14:textId="14F09B90" w:rsidR="00805931" w:rsidRDefault="00805931" w:rsidP="001B7A7D">
      <w:r w:rsidRPr="00805931">
        <w:rPr>
          <w:b/>
          <w:bCs/>
          <w:szCs w:val="22"/>
        </w:rPr>
        <w:t xml:space="preserve">Impact of fan control on IEER. </w:t>
      </w:r>
      <w:r w:rsidRPr="00805931">
        <w:t xml:space="preserve">The type of fan control installed on a system affects the IEER rating. Most manufacturers now provide a description of the fan control that was used in the development of each IEER value. For some units where different fan control options are available, multiple IEER values are listed. In the IEER versus EER data that was collected for the DEER2017 update, the fan control strategy was either constant volume or two-speed. For each unit size range, relationships were established </w:t>
      </w:r>
      <w:r w:rsidRPr="00352193">
        <w:t>between rated IEER and rated EER for both of these fan control strategies. Both values are now listed in the Measure and Technology tables.</w:t>
      </w:r>
    </w:p>
    <w:p w14:paraId="13EF6C47" w14:textId="77777777" w:rsidR="00805931" w:rsidRDefault="00805931" w:rsidP="004B06E3"/>
    <w:p w14:paraId="46B7702E" w14:textId="77777777" w:rsidR="00BB4F22" w:rsidRPr="004B06E3" w:rsidRDefault="00BB4F22" w:rsidP="00BB4F22">
      <w:pPr>
        <w:pStyle w:val="eTRMHeading3"/>
      </w:pPr>
      <w:bookmarkStart w:id="44" w:name="_Toc486490856"/>
      <w:bookmarkStart w:id="45" w:name="_Toc486580927"/>
      <w:bookmarkStart w:id="46" w:name="_Toc20997614"/>
      <w:r w:rsidRPr="004B06E3">
        <w:t>Peak Electric Demand Reduction (kW)</w:t>
      </w:r>
      <w:bookmarkEnd w:id="44"/>
      <w:bookmarkEnd w:id="45"/>
      <w:bookmarkEnd w:id="46"/>
    </w:p>
    <w:p w14:paraId="4E1ECED4" w14:textId="124E1D1A" w:rsidR="00EE7FD7" w:rsidRDefault="00EE7FD7" w:rsidP="00EE7FD7">
      <w:pPr>
        <w:rPr>
          <w:rFonts w:asciiTheme="minorHAnsi" w:hAnsiTheme="minorHAnsi"/>
          <w:szCs w:val="22"/>
        </w:rPr>
      </w:pPr>
      <w:r>
        <w:t xml:space="preserve">The </w:t>
      </w:r>
      <w:r w:rsidR="002632D7">
        <w:t>peak demand reduction</w:t>
      </w:r>
      <w:r w:rsidRPr="00370595">
        <w:t xml:space="preserve"> </w:t>
      </w:r>
      <w:r>
        <w:t xml:space="preserve">of a unitary air-cooled ACs and HPs </w:t>
      </w:r>
      <w:r>
        <w:rPr>
          <w:rFonts w:cs="Calibri Light"/>
        </w:rPr>
        <w:t>≥</w:t>
      </w:r>
      <w:r>
        <w:t xml:space="preserve"> 65 kBtuh were</w:t>
      </w:r>
      <w:r w:rsidRPr="00370595">
        <w:t xml:space="preserve"> </w:t>
      </w:r>
      <w:r>
        <w:t>drawn</w:t>
      </w:r>
      <w:r w:rsidRPr="00370595">
        <w:t xml:space="preserve"> directly </w:t>
      </w:r>
      <w:r>
        <w:t>from</w:t>
      </w:r>
      <w:r w:rsidRPr="00370595">
        <w:t xml:space="preserve"> </w:t>
      </w:r>
      <w:r>
        <w:t xml:space="preserve">the Database of </w:t>
      </w:r>
      <w:r w:rsidRPr="00006F8E">
        <w:t xml:space="preserve">Energy Efficient Resources (DEER). The version used to calculate savings for these measures </w:t>
      </w:r>
      <w:r w:rsidRPr="00F9194F">
        <w:t>is DEER</w:t>
      </w:r>
      <w:r>
        <w:t>2020</w:t>
      </w:r>
      <w:r w:rsidRPr="00F9194F">
        <w:t>. The results were reported in the Remote Ex-Ante Database Interface</w:t>
      </w:r>
      <w:r w:rsidRPr="00006F8E">
        <w:t xml:space="preserve"> (READI) tool; the</w:t>
      </w:r>
      <w:r w:rsidRPr="00AB4637">
        <w:t xml:space="preserve"> results have not been modified.</w:t>
      </w:r>
      <w:r w:rsidRPr="006A2EE1">
        <w:rPr>
          <w:rFonts w:asciiTheme="minorHAnsi" w:hAnsiTheme="minorHAnsi"/>
          <w:szCs w:val="22"/>
        </w:rPr>
        <w:t xml:space="preserve"> </w:t>
      </w:r>
    </w:p>
    <w:p w14:paraId="0EF17648" w14:textId="77777777" w:rsidR="00EE7FD7" w:rsidRDefault="00EE7FD7" w:rsidP="00EE7FD7">
      <w:r>
        <w:t>Electric savings values vary by building type, building vintage, and climate zone. All DEER “Com” building types as well as the “existing” vintage (“Ex”, weighted DEER vintages) and all climate zones were used.</w:t>
      </w:r>
    </w:p>
    <w:p w14:paraId="6544115B" w14:textId="73AF7927" w:rsidR="00BB4F22" w:rsidRDefault="00EE7FD7" w:rsidP="00BB4F22">
      <w:r>
        <w:t xml:space="preserve">See Electric Savings for additional details. </w:t>
      </w:r>
    </w:p>
    <w:p w14:paraId="2DC7C594" w14:textId="77777777" w:rsidR="00EE7FD7" w:rsidRDefault="00EE7FD7" w:rsidP="00BB4F22"/>
    <w:p w14:paraId="02E97124" w14:textId="77777777" w:rsidR="00177EB6" w:rsidRPr="004B06E3" w:rsidRDefault="00177EB6" w:rsidP="00177EB6">
      <w:pPr>
        <w:pStyle w:val="eTRMHeading3"/>
      </w:pPr>
      <w:bookmarkStart w:id="47" w:name="_Toc486490858"/>
      <w:bookmarkStart w:id="48" w:name="_Toc486580929"/>
      <w:bookmarkStart w:id="49" w:name="_Toc20997615"/>
      <w:r w:rsidRPr="004B06E3">
        <w:t>Gas Savings (Therms)</w:t>
      </w:r>
      <w:bookmarkEnd w:id="47"/>
      <w:bookmarkEnd w:id="48"/>
      <w:bookmarkEnd w:id="49"/>
    </w:p>
    <w:p w14:paraId="13F47F53" w14:textId="7A9D7E6E" w:rsidR="008315E6" w:rsidRDefault="008315E6" w:rsidP="009D3057">
      <w:pPr>
        <w:rPr>
          <w:rFonts w:asciiTheme="minorHAnsi" w:hAnsiTheme="minorHAnsi"/>
          <w:szCs w:val="22"/>
        </w:rPr>
      </w:pPr>
      <w:r>
        <w:t>The gas</w:t>
      </w:r>
      <w:r w:rsidRPr="00370595">
        <w:t xml:space="preserve"> </w:t>
      </w:r>
      <w:r w:rsidR="00352193">
        <w:t xml:space="preserve">unit </w:t>
      </w:r>
      <w:r w:rsidRPr="00370595">
        <w:t xml:space="preserve">energy savings </w:t>
      </w:r>
      <w:r>
        <w:t xml:space="preserve">of a unitary air-cooled ACs and HPs </w:t>
      </w:r>
      <w:r>
        <w:rPr>
          <w:rFonts w:cs="Calibri Light"/>
        </w:rPr>
        <w:t>≥</w:t>
      </w:r>
      <w:r>
        <w:t xml:space="preserve"> 65 kBtuh were</w:t>
      </w:r>
      <w:r w:rsidRPr="00370595">
        <w:t xml:space="preserve"> </w:t>
      </w:r>
      <w:r>
        <w:t>drawn</w:t>
      </w:r>
      <w:r w:rsidRPr="00370595">
        <w:t xml:space="preserve"> directly </w:t>
      </w:r>
      <w:r>
        <w:t>from</w:t>
      </w:r>
      <w:r w:rsidRPr="00370595">
        <w:t xml:space="preserve"> </w:t>
      </w:r>
      <w:r>
        <w:t xml:space="preserve">the Database of </w:t>
      </w:r>
      <w:r w:rsidRPr="00006F8E">
        <w:t xml:space="preserve">Energy Efficient Resources (DEER). The version used to calculate savings for these measures </w:t>
      </w:r>
      <w:r w:rsidRPr="00F9194F">
        <w:t>is DEER</w:t>
      </w:r>
      <w:r w:rsidR="00352193">
        <w:t>2020</w:t>
      </w:r>
      <w:r w:rsidRPr="00F9194F">
        <w:t>. The results were reported in the Remote Ex-Ante Database Interface</w:t>
      </w:r>
      <w:r w:rsidRPr="00006F8E">
        <w:t xml:space="preserve"> (READI) tool; the</w:t>
      </w:r>
      <w:r w:rsidRPr="00AB4637">
        <w:t xml:space="preserve"> results have not been modified.</w:t>
      </w:r>
      <w:r w:rsidRPr="006A2EE1">
        <w:rPr>
          <w:rFonts w:asciiTheme="minorHAnsi" w:hAnsiTheme="minorHAnsi"/>
          <w:szCs w:val="22"/>
        </w:rPr>
        <w:t xml:space="preserve"> </w:t>
      </w:r>
    </w:p>
    <w:p w14:paraId="3B43A561" w14:textId="69251BD6" w:rsidR="008315E6" w:rsidRDefault="008315E6" w:rsidP="009D3057">
      <w:r>
        <w:t>Therm savings values vary by building type, building vintage, and climate zone. All DEER “Com” building types as well as the “existing” vintage (“Ex”, weighted DEER vintages) and all climate zones were used.</w:t>
      </w:r>
    </w:p>
    <w:p w14:paraId="20A2A164" w14:textId="77777777" w:rsidR="00177EB6" w:rsidRDefault="00177EB6" w:rsidP="00177EB6"/>
    <w:p w14:paraId="4DDCD51F" w14:textId="4F2BBAD7" w:rsidR="007D230B" w:rsidRPr="004B06E3" w:rsidRDefault="00245AFF" w:rsidP="00462BB6">
      <w:pPr>
        <w:pStyle w:val="eTRMHeading3"/>
      </w:pPr>
      <w:bookmarkStart w:id="50" w:name="_Toc20997616"/>
      <w:bookmarkStart w:id="51" w:name="_Toc486490859"/>
      <w:bookmarkStart w:id="52" w:name="_Toc486580930"/>
      <w:r w:rsidRPr="004B06E3">
        <w:t>Life Cycle</w:t>
      </w:r>
      <w:bookmarkEnd w:id="50"/>
      <w:r w:rsidR="007D230B" w:rsidRPr="004B06E3">
        <w:t xml:space="preserve"> </w:t>
      </w:r>
      <w:bookmarkEnd w:id="51"/>
      <w:bookmarkEnd w:id="52"/>
    </w:p>
    <w:p w14:paraId="6459579D" w14:textId="77777777" w:rsidR="00177EB6" w:rsidRDefault="007F669E" w:rsidP="004142EF">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t xml:space="preserve"> </w:t>
      </w:r>
    </w:p>
    <w:p w14:paraId="4BD44F00" w14:textId="131833D6" w:rsidR="00926E50" w:rsidRDefault="007F669E" w:rsidP="00926E50">
      <w:r w:rsidRPr="00FA49EE">
        <w:t xml:space="preserve">The EUL and RUL specified for </w:t>
      </w:r>
      <w:r w:rsidR="00FA49EE" w:rsidRPr="00FA49EE">
        <w:t>this measure</w:t>
      </w:r>
      <w:r w:rsidRPr="00FA49EE">
        <w:t xml:space="preserve"> are </w:t>
      </w:r>
      <w:r w:rsidR="009D3057">
        <w:t>specified</w:t>
      </w:r>
      <w:r w:rsidRPr="00FA49EE">
        <w:t xml:space="preserve"> </w:t>
      </w:r>
      <w:r w:rsidR="00C16C6F">
        <w:t>below</w:t>
      </w:r>
      <w:r w:rsidR="00926E50" w:rsidRPr="00FA49EE">
        <w:t>. Note that RUL is only applicable for</w:t>
      </w:r>
      <w:r w:rsidR="00926E50">
        <w:t xml:space="preserve"> add-on and </w:t>
      </w:r>
      <w:r w:rsidR="009D3057">
        <w:t>accelerated</w:t>
      </w:r>
      <w:r w:rsidR="00926E50">
        <w:t xml:space="preserve"> replacement </w:t>
      </w:r>
      <w:r w:rsidR="009D3057">
        <w:t xml:space="preserve">installations and </w:t>
      </w:r>
      <w:r w:rsidR="00352193">
        <w:t>is</w:t>
      </w:r>
      <w:r w:rsidR="00926E50">
        <w:t xml:space="preserve"> not applicable for this measure.</w:t>
      </w:r>
    </w:p>
    <w:p w14:paraId="213611A6" w14:textId="7DAF77B7" w:rsidR="00C86976" w:rsidRDefault="00C86976" w:rsidP="003570F5">
      <w:pPr>
        <w:pStyle w:val="Caption"/>
      </w:pPr>
      <w:r w:rsidRPr="00A45340">
        <w:t>Effective Useful Life and Remaining Useful Life</w:t>
      </w:r>
    </w:p>
    <w:tbl>
      <w:tblPr>
        <w:tblW w:w="9427"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769"/>
        <w:gridCol w:w="1731"/>
        <w:gridCol w:w="4927"/>
      </w:tblGrid>
      <w:tr w:rsidR="00926E50" w:rsidRPr="00500C4E" w14:paraId="43506D81" w14:textId="77777777" w:rsidTr="00352193">
        <w:trPr>
          <w:cantSplit/>
          <w:trHeight w:val="20"/>
        </w:trPr>
        <w:tc>
          <w:tcPr>
            <w:tcW w:w="2769" w:type="dxa"/>
            <w:shd w:val="clear" w:color="auto" w:fill="F2F2F2" w:themeFill="background1" w:themeFillShade="F2"/>
            <w:vAlign w:val="bottom"/>
          </w:tcPr>
          <w:p w14:paraId="0F524E72" w14:textId="77777777" w:rsidR="00926E50" w:rsidRPr="00694410" w:rsidRDefault="00926E50" w:rsidP="000F45B1">
            <w:pPr>
              <w:keepNext/>
              <w:keepLines/>
              <w:spacing w:before="20" w:after="20"/>
              <w:jc w:val="center"/>
              <w:rPr>
                <w:rFonts w:cstheme="minorHAnsi"/>
                <w:b/>
                <w:sz w:val="20"/>
                <w:szCs w:val="20"/>
              </w:rPr>
            </w:pPr>
            <w:r>
              <w:rPr>
                <w:rFonts w:cstheme="minorHAnsi"/>
                <w:b/>
                <w:sz w:val="20"/>
                <w:szCs w:val="20"/>
              </w:rPr>
              <w:t>Parameter</w:t>
            </w:r>
          </w:p>
        </w:tc>
        <w:tc>
          <w:tcPr>
            <w:tcW w:w="1731" w:type="dxa"/>
            <w:shd w:val="clear" w:color="auto" w:fill="F2F2F2" w:themeFill="background1" w:themeFillShade="F2"/>
          </w:tcPr>
          <w:p w14:paraId="63982602" w14:textId="77777777" w:rsidR="00926E50" w:rsidRPr="00694410" w:rsidRDefault="00926E50" w:rsidP="000F45B1">
            <w:pPr>
              <w:keepNext/>
              <w:keepLines/>
              <w:spacing w:before="20" w:after="20"/>
              <w:jc w:val="center"/>
              <w:rPr>
                <w:rFonts w:cstheme="minorHAnsi"/>
                <w:b/>
                <w:sz w:val="20"/>
                <w:szCs w:val="20"/>
              </w:rPr>
            </w:pPr>
            <w:r>
              <w:rPr>
                <w:rFonts w:cstheme="minorHAnsi"/>
                <w:b/>
                <w:sz w:val="20"/>
                <w:szCs w:val="20"/>
              </w:rPr>
              <w:t>Value</w:t>
            </w:r>
          </w:p>
        </w:tc>
        <w:tc>
          <w:tcPr>
            <w:tcW w:w="4927" w:type="dxa"/>
            <w:shd w:val="clear" w:color="auto" w:fill="F2F2F2" w:themeFill="background1" w:themeFillShade="F2"/>
          </w:tcPr>
          <w:p w14:paraId="5EF6F636" w14:textId="77777777" w:rsidR="00926E50" w:rsidRPr="00694410" w:rsidRDefault="00926E50" w:rsidP="000F45B1">
            <w:pPr>
              <w:keepNext/>
              <w:keepLines/>
              <w:spacing w:before="20" w:after="20"/>
              <w:jc w:val="center"/>
              <w:rPr>
                <w:rFonts w:cstheme="minorHAnsi"/>
                <w:b/>
                <w:sz w:val="20"/>
                <w:szCs w:val="20"/>
              </w:rPr>
            </w:pPr>
            <w:r>
              <w:rPr>
                <w:rFonts w:cstheme="minorHAnsi"/>
                <w:b/>
                <w:sz w:val="20"/>
                <w:szCs w:val="20"/>
              </w:rPr>
              <w:t>Source</w:t>
            </w:r>
          </w:p>
        </w:tc>
      </w:tr>
      <w:tr w:rsidR="00926E50" w:rsidRPr="00500C4E" w14:paraId="67F45AED" w14:textId="77777777" w:rsidTr="00352193">
        <w:trPr>
          <w:cantSplit/>
          <w:trHeight w:val="20"/>
        </w:trPr>
        <w:tc>
          <w:tcPr>
            <w:tcW w:w="2769" w:type="dxa"/>
            <w:vAlign w:val="center"/>
          </w:tcPr>
          <w:p w14:paraId="7F85B950" w14:textId="2A12DA18" w:rsidR="00926E50" w:rsidRPr="00177EB6" w:rsidRDefault="00A55DAB" w:rsidP="00352193">
            <w:pPr>
              <w:keepNext/>
              <w:keepLines/>
              <w:spacing w:before="20" w:after="20"/>
              <w:rPr>
                <w:sz w:val="20"/>
                <w:szCs w:val="20"/>
              </w:rPr>
            </w:pPr>
            <w:r>
              <w:rPr>
                <w:rFonts w:cstheme="minorHAnsi"/>
                <w:sz w:val="20"/>
                <w:szCs w:val="20"/>
              </w:rPr>
              <w:t>EUL – Rated years</w:t>
            </w:r>
          </w:p>
        </w:tc>
        <w:tc>
          <w:tcPr>
            <w:tcW w:w="1731" w:type="dxa"/>
            <w:vAlign w:val="center"/>
          </w:tcPr>
          <w:p w14:paraId="48232EE5" w14:textId="77777777" w:rsidR="00926E50" w:rsidRPr="009D3057" w:rsidRDefault="00926E50" w:rsidP="00352193">
            <w:pPr>
              <w:keepNext/>
              <w:keepLines/>
              <w:spacing w:before="20" w:after="20"/>
              <w:jc w:val="center"/>
              <w:rPr>
                <w:sz w:val="20"/>
                <w:szCs w:val="20"/>
              </w:rPr>
            </w:pPr>
            <w:r w:rsidRPr="009D3057">
              <w:rPr>
                <w:sz w:val="20"/>
                <w:szCs w:val="20"/>
              </w:rPr>
              <w:t>15.0</w:t>
            </w:r>
          </w:p>
        </w:tc>
        <w:tc>
          <w:tcPr>
            <w:tcW w:w="4927" w:type="dxa"/>
          </w:tcPr>
          <w:p w14:paraId="08CAD259" w14:textId="68494409" w:rsidR="00A55DAB" w:rsidRPr="0090361F" w:rsidRDefault="0090361F" w:rsidP="000F45B1">
            <w:pPr>
              <w:keepNext/>
              <w:keepLines/>
              <w:spacing w:before="20" w:after="20"/>
              <w:rPr>
                <w:sz w:val="18"/>
                <w:szCs w:val="20"/>
                <w:highlight w:val="yellow"/>
              </w:rPr>
            </w:pPr>
            <w:r w:rsidRPr="0090361F">
              <w:rPr>
                <w:sz w:val="18"/>
                <w:szCs w:val="20"/>
              </w:rPr>
              <w:t xml:space="preserve">California Public Utilities Commission (CPUC), Energy Division.  2003. </w:t>
            </w:r>
            <w:r w:rsidRPr="0090361F">
              <w:rPr>
                <w:rStyle w:val="Emphasis"/>
                <w:sz w:val="18"/>
                <w:szCs w:val="20"/>
              </w:rPr>
              <w:t>Energy Efficiency Policy Manual v 2.0.</w:t>
            </w:r>
            <w:r w:rsidRPr="0090361F">
              <w:rPr>
                <w:rStyle w:val="Emphasis"/>
                <w:i w:val="0"/>
                <w:iCs w:val="0"/>
                <w:sz w:val="18"/>
                <w:szCs w:val="20"/>
              </w:rPr>
              <w:t xml:space="preserve"> Page 17.</w:t>
            </w:r>
          </w:p>
        </w:tc>
      </w:tr>
      <w:tr w:rsidR="00926E50" w:rsidRPr="00500C4E" w14:paraId="0B94EFC1" w14:textId="77777777" w:rsidTr="00352193">
        <w:trPr>
          <w:cantSplit/>
          <w:trHeight w:val="20"/>
        </w:trPr>
        <w:tc>
          <w:tcPr>
            <w:tcW w:w="2769" w:type="dxa"/>
            <w:vAlign w:val="center"/>
          </w:tcPr>
          <w:p w14:paraId="24511196" w14:textId="308D0A92" w:rsidR="00926E50" w:rsidRPr="00177EB6" w:rsidRDefault="00926E50" w:rsidP="00352193">
            <w:pPr>
              <w:keepNext/>
              <w:keepLines/>
              <w:spacing w:before="20" w:after="20"/>
              <w:rPr>
                <w:sz w:val="20"/>
                <w:szCs w:val="20"/>
              </w:rPr>
            </w:pPr>
            <w:r w:rsidRPr="00177EB6">
              <w:rPr>
                <w:rFonts w:cstheme="minorHAnsi"/>
                <w:sz w:val="20"/>
                <w:szCs w:val="20"/>
              </w:rPr>
              <w:t xml:space="preserve">RUL </w:t>
            </w:r>
            <w:r w:rsidR="00A55DAB">
              <w:rPr>
                <w:rFonts w:cstheme="minorHAnsi"/>
                <w:sz w:val="20"/>
                <w:szCs w:val="20"/>
              </w:rPr>
              <w:t>- Rated years</w:t>
            </w:r>
          </w:p>
        </w:tc>
        <w:tc>
          <w:tcPr>
            <w:tcW w:w="1731" w:type="dxa"/>
            <w:vAlign w:val="center"/>
          </w:tcPr>
          <w:p w14:paraId="551C7903" w14:textId="77777777" w:rsidR="00926E50" w:rsidRPr="009D3057" w:rsidRDefault="00926E50" w:rsidP="00352193">
            <w:pPr>
              <w:keepNext/>
              <w:keepLines/>
              <w:spacing w:before="20" w:after="20"/>
              <w:jc w:val="center"/>
              <w:rPr>
                <w:sz w:val="20"/>
                <w:szCs w:val="20"/>
              </w:rPr>
            </w:pPr>
            <w:r w:rsidRPr="009D3057">
              <w:rPr>
                <w:sz w:val="20"/>
                <w:szCs w:val="20"/>
              </w:rPr>
              <w:t>n/a</w:t>
            </w:r>
          </w:p>
        </w:tc>
        <w:tc>
          <w:tcPr>
            <w:tcW w:w="4927" w:type="dxa"/>
          </w:tcPr>
          <w:p w14:paraId="405B59E8" w14:textId="428C1E32" w:rsidR="00926E50" w:rsidRPr="009D3057" w:rsidRDefault="00FE1E55" w:rsidP="000F45B1">
            <w:pPr>
              <w:keepNext/>
              <w:keepLines/>
              <w:spacing w:before="20" w:after="20"/>
              <w:rPr>
                <w:sz w:val="20"/>
                <w:szCs w:val="20"/>
              </w:rPr>
            </w:pPr>
            <w:r>
              <w:rPr>
                <w:sz w:val="20"/>
                <w:szCs w:val="20"/>
              </w:rPr>
              <w:t>n/a</w:t>
            </w:r>
          </w:p>
        </w:tc>
      </w:tr>
    </w:tbl>
    <w:p w14:paraId="39DA8E9C" w14:textId="77777777" w:rsidR="0090361F" w:rsidRPr="004B06E3" w:rsidRDefault="0090361F" w:rsidP="00926E50"/>
    <w:p w14:paraId="3B14B593" w14:textId="2E965EAA" w:rsidR="007D230B" w:rsidRPr="004B06E3" w:rsidRDefault="007D230B" w:rsidP="00462BB6">
      <w:pPr>
        <w:pStyle w:val="eTRMHeading3"/>
      </w:pPr>
      <w:bookmarkStart w:id="53" w:name="_Toc486490860"/>
      <w:bookmarkStart w:id="54" w:name="_Toc486580931"/>
      <w:bookmarkStart w:id="55" w:name="_Toc20997617"/>
      <w:r w:rsidRPr="004B06E3">
        <w:t>Base Case Material Cost ($/unit)</w:t>
      </w:r>
      <w:bookmarkEnd w:id="53"/>
      <w:bookmarkEnd w:id="54"/>
      <w:bookmarkEnd w:id="55"/>
    </w:p>
    <w:p w14:paraId="2486ACF5" w14:textId="0A412E59" w:rsidR="007D230B" w:rsidRDefault="005A7154" w:rsidP="004142EF">
      <w:r>
        <w:t xml:space="preserve">The base case material costs derived from data collected through a survey of equipment distributors. Data were based upon the 2016 efficiency tiers and interpolated to the DEER </w:t>
      </w:r>
      <w:r w:rsidR="0090361F">
        <w:t>2020</w:t>
      </w:r>
      <w:r>
        <w:t xml:space="preserve"> tiers.</w:t>
      </w:r>
      <w:r w:rsidR="002632D7">
        <w:rPr>
          <w:rStyle w:val="FootnoteReference"/>
        </w:rPr>
        <w:footnoteReference w:id="2"/>
      </w:r>
      <w:r>
        <w:t xml:space="preserve"> </w:t>
      </w:r>
    </w:p>
    <w:p w14:paraId="4856DEBA" w14:textId="77777777" w:rsidR="005A7154" w:rsidRPr="004B06E3" w:rsidRDefault="005A7154" w:rsidP="004142EF"/>
    <w:p w14:paraId="44E8DBEB" w14:textId="77777777" w:rsidR="007D230B" w:rsidRPr="004B06E3" w:rsidRDefault="007D230B" w:rsidP="00462BB6">
      <w:pPr>
        <w:pStyle w:val="eTRMHeading3"/>
      </w:pPr>
      <w:bookmarkStart w:id="56" w:name="_Toc486490861"/>
      <w:bookmarkStart w:id="57" w:name="_Toc486580932"/>
      <w:bookmarkStart w:id="58" w:name="_Toc20997618"/>
      <w:r w:rsidRPr="004B06E3">
        <w:t>Measure Case Material Cost ($/unit)</w:t>
      </w:r>
      <w:bookmarkEnd w:id="56"/>
      <w:bookmarkEnd w:id="57"/>
      <w:bookmarkEnd w:id="58"/>
    </w:p>
    <w:p w14:paraId="73D39614" w14:textId="102F9960" w:rsidR="005A7154" w:rsidRDefault="005A7154" w:rsidP="005A7154">
      <w:r>
        <w:t>The measure case material costs derived from data collected through a survey of equipment distributors. Data were based upon the 2016 efficiency tiers and interpolated to the DEER</w:t>
      </w:r>
      <w:r w:rsidR="002632D7">
        <w:t>2020</w:t>
      </w:r>
      <w:r>
        <w:t xml:space="preserve"> tiers</w:t>
      </w:r>
      <w:r w:rsidR="002632D7">
        <w:t>.</w:t>
      </w:r>
      <w:r w:rsidR="002632D7">
        <w:rPr>
          <w:rStyle w:val="FootnoteReference"/>
        </w:rPr>
        <w:footnoteReference w:id="3"/>
      </w:r>
      <w:r>
        <w:t xml:space="preserve"> </w:t>
      </w:r>
    </w:p>
    <w:p w14:paraId="3449A3CF" w14:textId="77777777" w:rsidR="007D230B" w:rsidRDefault="007D230B" w:rsidP="004142EF"/>
    <w:p w14:paraId="02691007" w14:textId="3C007D4F" w:rsidR="007D230B" w:rsidRPr="004B06E3" w:rsidRDefault="002E5874" w:rsidP="00462BB6">
      <w:pPr>
        <w:pStyle w:val="eTRMHeading3"/>
      </w:pPr>
      <w:bookmarkStart w:id="59" w:name="_Toc486490862"/>
      <w:bookmarkStart w:id="60" w:name="_Toc486580933"/>
      <w:bookmarkStart w:id="61" w:name="_Toc20997619"/>
      <w:r>
        <w:lastRenderedPageBreak/>
        <w:t xml:space="preserve">Base Case </w:t>
      </w:r>
      <w:r w:rsidR="007D230B" w:rsidRPr="004B06E3">
        <w:t>Labor Cost ($/unit)</w:t>
      </w:r>
      <w:bookmarkEnd w:id="59"/>
      <w:bookmarkEnd w:id="60"/>
      <w:bookmarkEnd w:id="61"/>
    </w:p>
    <w:p w14:paraId="0CB762B3" w14:textId="653A015C" w:rsidR="002E5874" w:rsidRDefault="000D2849" w:rsidP="002E5874">
      <w:r>
        <w:t xml:space="preserve">Labor hours and labor hourly rates </w:t>
      </w:r>
      <w:r w:rsidRPr="00624D23">
        <w:t xml:space="preserve">were obtained from the </w:t>
      </w:r>
      <w:r w:rsidRPr="00EE7FD7">
        <w:rPr>
          <w:i/>
          <w:iCs/>
        </w:rPr>
        <w:t xml:space="preserve">2010–2012 WO017 Ex Ante Measure Cost Study </w:t>
      </w:r>
      <w:r w:rsidRPr="00624D23">
        <w:t>conducted by Itron, Inc.</w:t>
      </w:r>
      <w:bookmarkStart w:id="62" w:name="_Hlk11073308"/>
      <w:r w:rsidRPr="00624D23">
        <w:rPr>
          <w:rStyle w:val="FootnoteReference"/>
        </w:rPr>
        <w:footnoteReference w:id="4"/>
      </w:r>
      <w:bookmarkEnd w:id="62"/>
      <w:r w:rsidR="0067798D">
        <w:t xml:space="preserve"> The values adopted for this measure are the recommended values for Large Packaged DX (&gt; 5 tons). </w:t>
      </w:r>
    </w:p>
    <w:p w14:paraId="1DB7CA5D" w14:textId="77777777" w:rsidR="000D2849" w:rsidRPr="002E5874" w:rsidRDefault="000D2849" w:rsidP="002E5874"/>
    <w:p w14:paraId="5E89BC5E" w14:textId="22B628A3" w:rsidR="002E5874" w:rsidRPr="004B06E3" w:rsidRDefault="002E5874" w:rsidP="002E5874">
      <w:pPr>
        <w:pStyle w:val="eTRMHeading3"/>
      </w:pPr>
      <w:bookmarkStart w:id="63" w:name="_Toc20997620"/>
      <w:r>
        <w:t xml:space="preserve">Measure Case </w:t>
      </w:r>
      <w:r w:rsidRPr="004B06E3">
        <w:t>Labor Cost ($/unit)</w:t>
      </w:r>
      <w:bookmarkEnd w:id="63"/>
    </w:p>
    <w:p w14:paraId="68E79688" w14:textId="77777777" w:rsidR="002B48F9" w:rsidRDefault="002B48F9" w:rsidP="002B48F9">
      <w:r>
        <w:t xml:space="preserve">Labor hours and labor hourly rates </w:t>
      </w:r>
      <w:r w:rsidRPr="00624D23">
        <w:t xml:space="preserve">were obtained from the </w:t>
      </w:r>
      <w:r w:rsidRPr="00EE7FD7">
        <w:rPr>
          <w:i/>
          <w:iCs/>
        </w:rPr>
        <w:t>2010–2012 WO017 Ex Ante Measure Cost Study</w:t>
      </w:r>
      <w:r w:rsidRPr="00624D23">
        <w:t xml:space="preserve"> conducted by Itron, Inc.</w:t>
      </w:r>
      <w:r w:rsidRPr="00624D23">
        <w:rPr>
          <w:rStyle w:val="FootnoteReference"/>
        </w:rPr>
        <w:footnoteReference w:id="5"/>
      </w:r>
      <w:r>
        <w:t xml:space="preserve"> The values adopted for this measure are the recommended values for Large Packaged DX (&gt; 5 tons). </w:t>
      </w:r>
    </w:p>
    <w:p w14:paraId="5FCE367F" w14:textId="77777777" w:rsidR="007D230B" w:rsidRPr="004B06E3" w:rsidRDefault="007D230B" w:rsidP="004142EF"/>
    <w:p w14:paraId="050D9183" w14:textId="7ABF5C13" w:rsidR="007D230B" w:rsidRPr="004B06E3" w:rsidRDefault="004B06E3" w:rsidP="00462BB6">
      <w:pPr>
        <w:pStyle w:val="eTRMHeading3"/>
      </w:pPr>
      <w:bookmarkStart w:id="64" w:name="_Toc486490863"/>
      <w:bookmarkStart w:id="65" w:name="_Toc486580934"/>
      <w:bookmarkStart w:id="66" w:name="_Toc20997621"/>
      <w:r>
        <w:t>Net-to-Gross</w:t>
      </w:r>
      <w:bookmarkEnd w:id="64"/>
      <w:bookmarkEnd w:id="65"/>
      <w:r w:rsidR="008D4652">
        <w:t xml:space="preserve"> (NTG)</w:t>
      </w:r>
      <w:bookmarkEnd w:id="66"/>
    </w:p>
    <w:p w14:paraId="354E9FB1" w14:textId="64438297" w:rsidR="00926E50" w:rsidRPr="004B06E3" w:rsidRDefault="00AA3E2A" w:rsidP="00926E50">
      <w:r w:rsidRPr="00860FEC">
        <w:t xml:space="preserve">The net-to-gross (NTG) ratio represents the portion of gross impacts that are determined to be directly attributed to a specific program intervention. </w:t>
      </w:r>
      <w:r w:rsidR="00926E50" w:rsidRPr="00860FEC">
        <w:t xml:space="preserve">The relevant NTG values for </w:t>
      </w:r>
      <w:r w:rsidR="00926E50">
        <w:t>all packaged and split system air conditioner and heat pump replacements</w:t>
      </w:r>
      <w:r w:rsidR="00926E50" w:rsidRPr="00860FEC">
        <w:t xml:space="preserve"> are specified</w:t>
      </w:r>
      <w:r w:rsidR="00926E50">
        <w:t xml:space="preserve"> </w:t>
      </w:r>
      <w:r w:rsidR="00C16C6F">
        <w:t>below</w:t>
      </w:r>
      <w:r w:rsidR="00926E50" w:rsidRPr="004D069A">
        <w:t>.</w:t>
      </w:r>
      <w:r w:rsidR="00926E50">
        <w:t xml:space="preserve"> </w:t>
      </w:r>
      <w:r w:rsidR="00C16C6F">
        <w:t>The NTG for this measure was stipulated by the California Public Utilities Commission (CPUC) Energy Division in Resolution E-</w:t>
      </w:r>
      <w:r w:rsidR="00F828D7">
        <w:t>4952</w:t>
      </w:r>
      <w:r w:rsidR="00C16C6F">
        <w:t>, which approved the Database for Energy Efficient Resources (DEER)</w:t>
      </w:r>
      <w:r w:rsidR="00C16C6F" w:rsidRPr="00F06A33">
        <w:t xml:space="preserve"> </w:t>
      </w:r>
      <w:r w:rsidR="00C16C6F">
        <w:t xml:space="preserve">for </w:t>
      </w:r>
      <w:r w:rsidR="00F828D7">
        <w:t>2020</w:t>
      </w:r>
      <w:r w:rsidR="00C16C6F">
        <w:t xml:space="preserve">. </w:t>
      </w:r>
      <w:r w:rsidR="00D21FD1">
        <w:t>This NTG value is based upon results presented in the 2015 Upstream HVAC Programs.</w:t>
      </w:r>
      <w:r w:rsidR="00D21FD1">
        <w:rPr>
          <w:rStyle w:val="FootnoteReference"/>
        </w:rPr>
        <w:footnoteReference w:id="6"/>
      </w:r>
    </w:p>
    <w:p w14:paraId="4055822A" w14:textId="547C823C" w:rsidR="008364AB" w:rsidRDefault="008364AB" w:rsidP="003570F5">
      <w:pPr>
        <w:pStyle w:val="Caption"/>
      </w:pPr>
      <w:r w:rsidRPr="00DC7BEB">
        <w:t>Net-to-Gross Ratios</w:t>
      </w:r>
    </w:p>
    <w:tbl>
      <w:tblPr>
        <w:tblW w:w="927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3600"/>
        <w:gridCol w:w="1350"/>
        <w:gridCol w:w="4320"/>
      </w:tblGrid>
      <w:tr w:rsidR="00926E50" w:rsidRPr="0059426D" w14:paraId="24C082D2" w14:textId="77777777" w:rsidTr="00EE7FD7">
        <w:trPr>
          <w:cantSplit/>
          <w:trHeight w:val="20"/>
        </w:trPr>
        <w:tc>
          <w:tcPr>
            <w:tcW w:w="3600" w:type="dxa"/>
            <w:shd w:val="clear" w:color="000000" w:fill="F2F2F2" w:themeFill="background1" w:themeFillShade="F2"/>
            <w:vAlign w:val="bottom"/>
          </w:tcPr>
          <w:p w14:paraId="569B9AD0" w14:textId="77777777" w:rsidR="00926E50" w:rsidRPr="0059426D" w:rsidRDefault="00926E50" w:rsidP="000F45B1">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1350" w:type="dxa"/>
            <w:shd w:val="clear" w:color="000000" w:fill="F2F2F2" w:themeFill="background1" w:themeFillShade="F2"/>
            <w:vAlign w:val="bottom"/>
          </w:tcPr>
          <w:p w14:paraId="2A8EF12F" w14:textId="77777777" w:rsidR="00926E50" w:rsidRPr="0059426D" w:rsidRDefault="00926E50" w:rsidP="000F45B1">
            <w:pPr>
              <w:keepNext/>
              <w:keepLines/>
              <w:spacing w:before="0" w:after="0" w:line="200" w:lineRule="atLeast"/>
              <w:jc w:val="center"/>
              <w:rPr>
                <w:rFonts w:cs="Arial"/>
                <w:b/>
                <w:color w:val="000000"/>
                <w:sz w:val="20"/>
                <w:szCs w:val="20"/>
              </w:rPr>
            </w:pPr>
            <w:r>
              <w:rPr>
                <w:rFonts w:cs="Arial"/>
                <w:b/>
                <w:color w:val="000000"/>
                <w:sz w:val="20"/>
                <w:szCs w:val="20"/>
              </w:rPr>
              <w:t>Value</w:t>
            </w:r>
          </w:p>
        </w:tc>
        <w:tc>
          <w:tcPr>
            <w:tcW w:w="4320" w:type="dxa"/>
            <w:shd w:val="clear" w:color="000000" w:fill="F2F2F2" w:themeFill="background1" w:themeFillShade="F2"/>
          </w:tcPr>
          <w:p w14:paraId="48C766D3" w14:textId="77777777" w:rsidR="00926E50" w:rsidRDefault="00926E50" w:rsidP="000F45B1">
            <w:pPr>
              <w:keepNext/>
              <w:keepLines/>
              <w:spacing w:before="0" w:after="0" w:line="200" w:lineRule="atLeast"/>
              <w:jc w:val="center"/>
              <w:rPr>
                <w:rFonts w:cs="Arial"/>
                <w:b/>
                <w:color w:val="000000"/>
                <w:sz w:val="20"/>
                <w:szCs w:val="20"/>
              </w:rPr>
            </w:pPr>
            <w:r>
              <w:rPr>
                <w:rFonts w:cs="Arial"/>
                <w:b/>
                <w:color w:val="000000"/>
                <w:sz w:val="20"/>
                <w:szCs w:val="20"/>
              </w:rPr>
              <w:t>Source</w:t>
            </w:r>
          </w:p>
        </w:tc>
      </w:tr>
      <w:tr w:rsidR="00926E50" w:rsidRPr="0059426D" w14:paraId="3195947C" w14:textId="77777777" w:rsidTr="00EE7FD7">
        <w:trPr>
          <w:cantSplit/>
          <w:trHeight w:val="20"/>
        </w:trPr>
        <w:tc>
          <w:tcPr>
            <w:tcW w:w="3600" w:type="dxa"/>
            <w:vAlign w:val="center"/>
          </w:tcPr>
          <w:p w14:paraId="086787C9" w14:textId="479D1575" w:rsidR="00C47A6D" w:rsidRPr="00177EB6" w:rsidRDefault="00926E50" w:rsidP="00C47A6D">
            <w:pPr>
              <w:keepNext/>
              <w:keepLines/>
              <w:spacing w:before="0" w:after="0" w:line="200" w:lineRule="atLeast"/>
              <w:rPr>
                <w:rFonts w:cstheme="minorHAnsi"/>
                <w:sz w:val="20"/>
                <w:szCs w:val="20"/>
              </w:rPr>
            </w:pPr>
            <w:r w:rsidRPr="00177EB6">
              <w:rPr>
                <w:rFonts w:cs="Arial"/>
                <w:color w:val="000000"/>
                <w:sz w:val="20"/>
                <w:szCs w:val="20"/>
              </w:rPr>
              <w:t>NTG</w:t>
            </w:r>
            <w:r w:rsidR="00C47A6D">
              <w:rPr>
                <w:rFonts w:cs="Arial"/>
                <w:color w:val="000000"/>
                <w:sz w:val="20"/>
                <w:szCs w:val="20"/>
              </w:rPr>
              <w:t xml:space="preserve"> - </w:t>
            </w:r>
            <w:r w:rsidR="00C47A6D" w:rsidRPr="00C47A6D">
              <w:rPr>
                <w:rFonts w:cstheme="minorHAnsi"/>
                <w:sz w:val="20"/>
                <w:szCs w:val="20"/>
              </w:rPr>
              <w:t xml:space="preserve">All package HVAC AC and HP replacements with </w:t>
            </w:r>
            <w:r w:rsidR="00F828D7">
              <w:rPr>
                <w:rFonts w:cstheme="minorHAnsi"/>
                <w:sz w:val="20"/>
                <w:szCs w:val="20"/>
              </w:rPr>
              <w:t>upstream</w:t>
            </w:r>
            <w:r w:rsidR="00F828D7" w:rsidRPr="00C47A6D">
              <w:rPr>
                <w:rFonts w:cstheme="minorHAnsi"/>
                <w:sz w:val="20"/>
                <w:szCs w:val="20"/>
              </w:rPr>
              <w:t xml:space="preserve"> </w:t>
            </w:r>
            <w:r w:rsidR="00C47A6D" w:rsidRPr="00C47A6D">
              <w:rPr>
                <w:rFonts w:cstheme="minorHAnsi"/>
                <w:sz w:val="20"/>
                <w:szCs w:val="20"/>
              </w:rPr>
              <w:t>incentives</w:t>
            </w:r>
          </w:p>
        </w:tc>
        <w:tc>
          <w:tcPr>
            <w:tcW w:w="1350" w:type="dxa"/>
            <w:shd w:val="clear" w:color="auto" w:fill="auto"/>
            <w:noWrap/>
            <w:vAlign w:val="center"/>
          </w:tcPr>
          <w:p w14:paraId="06D0E72A" w14:textId="704D054A" w:rsidR="00926E50" w:rsidRPr="009D3057" w:rsidRDefault="00926E50" w:rsidP="00B0618D">
            <w:pPr>
              <w:keepNext/>
              <w:keepLines/>
              <w:spacing w:before="0" w:after="0" w:line="200" w:lineRule="atLeast"/>
              <w:jc w:val="center"/>
              <w:rPr>
                <w:sz w:val="20"/>
                <w:szCs w:val="20"/>
              </w:rPr>
            </w:pPr>
            <w:r w:rsidRPr="009D3057">
              <w:rPr>
                <w:sz w:val="20"/>
                <w:szCs w:val="20"/>
              </w:rPr>
              <w:t>0.</w:t>
            </w:r>
            <w:r w:rsidR="00F828D7">
              <w:rPr>
                <w:sz w:val="20"/>
                <w:szCs w:val="20"/>
              </w:rPr>
              <w:t>65</w:t>
            </w:r>
          </w:p>
        </w:tc>
        <w:tc>
          <w:tcPr>
            <w:tcW w:w="4320" w:type="dxa"/>
            <w:vAlign w:val="center"/>
          </w:tcPr>
          <w:p w14:paraId="1740F221" w14:textId="54537583" w:rsidR="00926E50" w:rsidRPr="0053503B" w:rsidRDefault="00C16C6F" w:rsidP="00C16C6F">
            <w:pPr>
              <w:keepNext/>
              <w:keepLines/>
              <w:spacing w:before="0" w:after="0" w:line="200" w:lineRule="atLeast"/>
              <w:rPr>
                <w:sz w:val="18"/>
                <w:szCs w:val="20"/>
              </w:rPr>
            </w:pPr>
            <w:r w:rsidRPr="00F06A33">
              <w:rPr>
                <w:sz w:val="18"/>
                <w:szCs w:val="18"/>
              </w:rPr>
              <w:t>California Public Utilities Commission (CPUC). 201</w:t>
            </w:r>
            <w:r w:rsidR="00F828D7">
              <w:rPr>
                <w:sz w:val="18"/>
                <w:szCs w:val="18"/>
              </w:rPr>
              <w:t>8</w:t>
            </w:r>
            <w:r w:rsidRPr="00F06A33">
              <w:rPr>
                <w:sz w:val="18"/>
                <w:szCs w:val="18"/>
              </w:rPr>
              <w:t xml:space="preserve">. </w:t>
            </w:r>
            <w:r w:rsidRPr="00F06A33">
              <w:rPr>
                <w:rStyle w:val="Emphasis"/>
                <w:sz w:val="18"/>
                <w:szCs w:val="18"/>
              </w:rPr>
              <w:t>Resolution E-4</w:t>
            </w:r>
            <w:r w:rsidR="00F828D7">
              <w:rPr>
                <w:rStyle w:val="Emphasis"/>
                <w:sz w:val="18"/>
                <w:szCs w:val="18"/>
              </w:rPr>
              <w:t>952</w:t>
            </w:r>
            <w:r w:rsidRPr="00F06A33">
              <w:rPr>
                <w:sz w:val="18"/>
                <w:szCs w:val="18"/>
              </w:rPr>
              <w:t xml:space="preserve">. </w:t>
            </w:r>
            <w:r w:rsidR="00F828D7">
              <w:rPr>
                <w:sz w:val="18"/>
                <w:szCs w:val="18"/>
              </w:rPr>
              <w:t>October 12</w:t>
            </w:r>
            <w:r w:rsidRPr="00F06A33">
              <w:rPr>
                <w:sz w:val="18"/>
                <w:szCs w:val="18"/>
              </w:rPr>
              <w:t>.</w:t>
            </w:r>
            <w:r>
              <w:rPr>
                <w:sz w:val="18"/>
                <w:szCs w:val="18"/>
              </w:rPr>
              <w:t xml:space="preserve"> Page </w:t>
            </w:r>
            <w:r w:rsidR="00F828D7">
              <w:rPr>
                <w:sz w:val="18"/>
                <w:szCs w:val="18"/>
              </w:rPr>
              <w:t>36</w:t>
            </w:r>
            <w:r>
              <w:rPr>
                <w:sz w:val="18"/>
                <w:szCs w:val="18"/>
              </w:rPr>
              <w:t xml:space="preserve">, Table </w:t>
            </w:r>
            <w:r w:rsidR="00F828D7">
              <w:rPr>
                <w:sz w:val="18"/>
                <w:szCs w:val="18"/>
              </w:rPr>
              <w:t>7</w:t>
            </w:r>
            <w:r>
              <w:rPr>
                <w:sz w:val="18"/>
                <w:szCs w:val="18"/>
              </w:rPr>
              <w:t>.</w:t>
            </w:r>
          </w:p>
        </w:tc>
      </w:tr>
    </w:tbl>
    <w:p w14:paraId="6ECC6493" w14:textId="14A9131B" w:rsidR="007D230B" w:rsidRPr="004B06E3" w:rsidRDefault="007D230B" w:rsidP="00926E50"/>
    <w:p w14:paraId="3E0CBB5D" w14:textId="77777777" w:rsidR="005A2CFE" w:rsidRPr="004B06E3" w:rsidRDefault="005A2CFE" w:rsidP="005A2CFE">
      <w:pPr>
        <w:pStyle w:val="eTRMHeading3"/>
      </w:pPr>
      <w:bookmarkStart w:id="67" w:name="_Toc486490864"/>
      <w:bookmarkStart w:id="68" w:name="_Toc486580935"/>
      <w:bookmarkStart w:id="69" w:name="_Toc517812681"/>
      <w:bookmarkStart w:id="70" w:name="_Toc20997622"/>
      <w:bookmarkStart w:id="71" w:name="_Toc486490865"/>
      <w:bookmarkStart w:id="72" w:name="_Toc486580936"/>
      <w:r>
        <w:t>Gross Savings Installation Adjustment (</w:t>
      </w:r>
      <w:r w:rsidRPr="004B06E3">
        <w:t>GSIA</w:t>
      </w:r>
      <w:bookmarkEnd w:id="67"/>
      <w:bookmarkEnd w:id="68"/>
      <w:r>
        <w:t>)</w:t>
      </w:r>
      <w:bookmarkEnd w:id="69"/>
      <w:bookmarkEnd w:id="70"/>
    </w:p>
    <w:p w14:paraId="01EDF6B6" w14:textId="0AD2EFAA" w:rsidR="00926E50" w:rsidRDefault="00926E50" w:rsidP="00926E50">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 </w:t>
      </w:r>
      <w:r w:rsidR="00C16C6F">
        <w:t xml:space="preserve"> </w:t>
      </w:r>
      <w:r>
        <w:t>This GSIA rate is the current “default” rate specified for measures for which an alternative GSIA has not been estimated and approved.</w:t>
      </w:r>
    </w:p>
    <w:p w14:paraId="12F59606" w14:textId="6D1274FE" w:rsidR="00AE0FCF" w:rsidRDefault="00AE0FCF" w:rsidP="003570F5">
      <w:pPr>
        <w:pStyle w:val="Caption"/>
      </w:pPr>
      <w:r w:rsidRPr="00B02836">
        <w:lastRenderedPageBreak/>
        <w:t>Gross Savings Installation Adjustment Rates</w:t>
      </w:r>
    </w:p>
    <w:tbl>
      <w:tblPr>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190"/>
        <w:gridCol w:w="1620"/>
        <w:gridCol w:w="5640"/>
      </w:tblGrid>
      <w:tr w:rsidR="00926E50" w:rsidRPr="00052C24" w14:paraId="17568C1F" w14:textId="77777777" w:rsidTr="00EE7FD7">
        <w:tc>
          <w:tcPr>
            <w:tcW w:w="2190" w:type="dxa"/>
            <w:shd w:val="clear" w:color="auto" w:fill="F2F2F2" w:themeFill="background1" w:themeFillShade="F2"/>
            <w:vAlign w:val="bottom"/>
          </w:tcPr>
          <w:p w14:paraId="228C457C" w14:textId="77777777" w:rsidR="00926E50" w:rsidRPr="00052C24" w:rsidRDefault="00926E50" w:rsidP="000F45B1">
            <w:pPr>
              <w:keepNext/>
              <w:keepLines/>
              <w:spacing w:before="0" w:after="0" w:line="200" w:lineRule="atLeast"/>
              <w:rPr>
                <w:b/>
                <w:sz w:val="20"/>
              </w:rPr>
            </w:pPr>
            <w:r>
              <w:rPr>
                <w:b/>
                <w:sz w:val="20"/>
              </w:rPr>
              <w:t>Parameter</w:t>
            </w:r>
          </w:p>
        </w:tc>
        <w:tc>
          <w:tcPr>
            <w:tcW w:w="1620" w:type="dxa"/>
            <w:shd w:val="clear" w:color="auto" w:fill="F2F2F2" w:themeFill="background1" w:themeFillShade="F2"/>
            <w:vAlign w:val="bottom"/>
          </w:tcPr>
          <w:p w14:paraId="7A526116" w14:textId="77777777" w:rsidR="00926E50" w:rsidRPr="00052C24" w:rsidRDefault="00926E50" w:rsidP="000F45B1">
            <w:pPr>
              <w:keepNext/>
              <w:keepLines/>
              <w:spacing w:before="0" w:after="0" w:line="200" w:lineRule="atLeast"/>
              <w:jc w:val="center"/>
              <w:rPr>
                <w:b/>
                <w:sz w:val="20"/>
              </w:rPr>
            </w:pPr>
            <w:r>
              <w:rPr>
                <w:b/>
                <w:sz w:val="20"/>
              </w:rPr>
              <w:t>Value</w:t>
            </w:r>
          </w:p>
        </w:tc>
        <w:tc>
          <w:tcPr>
            <w:tcW w:w="5640" w:type="dxa"/>
            <w:shd w:val="clear" w:color="auto" w:fill="F2F2F2" w:themeFill="background1" w:themeFillShade="F2"/>
            <w:vAlign w:val="bottom"/>
          </w:tcPr>
          <w:p w14:paraId="45638E4A" w14:textId="77777777" w:rsidR="00926E50" w:rsidRDefault="00926E50" w:rsidP="000F45B1">
            <w:pPr>
              <w:keepNext/>
              <w:keepLines/>
              <w:spacing w:before="0" w:after="0" w:line="200" w:lineRule="atLeast"/>
              <w:jc w:val="center"/>
              <w:rPr>
                <w:b/>
                <w:sz w:val="20"/>
              </w:rPr>
            </w:pPr>
            <w:r>
              <w:rPr>
                <w:b/>
                <w:sz w:val="20"/>
              </w:rPr>
              <w:t>Source</w:t>
            </w:r>
          </w:p>
        </w:tc>
      </w:tr>
      <w:tr w:rsidR="00926E50" w:rsidRPr="009062D0" w14:paraId="670C2D2B" w14:textId="77777777" w:rsidTr="00EE7FD7">
        <w:trPr>
          <w:trHeight w:val="260"/>
        </w:trPr>
        <w:tc>
          <w:tcPr>
            <w:tcW w:w="2190" w:type="dxa"/>
            <w:vAlign w:val="center"/>
          </w:tcPr>
          <w:p w14:paraId="6E4A2F91" w14:textId="77777777" w:rsidR="00926E50" w:rsidRPr="009062D0" w:rsidRDefault="00926E50" w:rsidP="000F45B1">
            <w:pPr>
              <w:keepNext/>
              <w:keepLines/>
              <w:spacing w:before="0" w:after="0" w:line="200" w:lineRule="atLeast"/>
              <w:rPr>
                <w:sz w:val="20"/>
              </w:rPr>
            </w:pPr>
            <w:r>
              <w:rPr>
                <w:sz w:val="20"/>
              </w:rPr>
              <w:t>GSIA</w:t>
            </w:r>
          </w:p>
        </w:tc>
        <w:tc>
          <w:tcPr>
            <w:tcW w:w="1620" w:type="dxa"/>
            <w:shd w:val="clear" w:color="auto" w:fill="auto"/>
            <w:vAlign w:val="center"/>
          </w:tcPr>
          <w:p w14:paraId="2F0FB142" w14:textId="77777777" w:rsidR="00926E50" w:rsidRPr="009D3057" w:rsidRDefault="00926E50" w:rsidP="000F45B1">
            <w:pPr>
              <w:keepNext/>
              <w:keepLines/>
              <w:spacing w:before="0" w:after="0" w:line="200" w:lineRule="atLeast"/>
              <w:jc w:val="center"/>
              <w:rPr>
                <w:sz w:val="20"/>
              </w:rPr>
            </w:pPr>
            <w:r w:rsidRPr="009D3057">
              <w:rPr>
                <w:sz w:val="20"/>
                <w:szCs w:val="20"/>
              </w:rPr>
              <w:t>1.0</w:t>
            </w:r>
          </w:p>
        </w:tc>
        <w:tc>
          <w:tcPr>
            <w:tcW w:w="5640" w:type="dxa"/>
            <w:vAlign w:val="center"/>
          </w:tcPr>
          <w:p w14:paraId="080FF3E4" w14:textId="77777777" w:rsidR="00926E50" w:rsidRPr="009062D0" w:rsidRDefault="00926E50" w:rsidP="000F45B1">
            <w:pPr>
              <w:keepNext/>
              <w:keepLines/>
              <w:spacing w:before="0" w:after="0" w:line="240" w:lineRule="auto"/>
              <w:rPr>
                <w:rFonts w:eastAsia="Times New Roman" w:cs="Times New Roman"/>
                <w:color w:val="000000"/>
                <w:sz w:val="18"/>
                <w:szCs w:val="18"/>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tbl>
    <w:p w14:paraId="592DC56D" w14:textId="77777777" w:rsidR="00926E50" w:rsidRDefault="00926E50" w:rsidP="00926E50">
      <w:pPr>
        <w:rPr>
          <w:rFonts w:cs="Arial"/>
          <w:sz w:val="20"/>
          <w:szCs w:val="20"/>
        </w:rPr>
      </w:pPr>
    </w:p>
    <w:p w14:paraId="498C05E5" w14:textId="232D8547" w:rsidR="002C67DF" w:rsidRPr="004B06E3" w:rsidRDefault="002C67DF" w:rsidP="00462BB6">
      <w:pPr>
        <w:pStyle w:val="eTRMHeading3"/>
      </w:pPr>
      <w:bookmarkStart w:id="73" w:name="_Toc20997623"/>
      <w:r w:rsidRPr="004B06E3">
        <w:t xml:space="preserve">Non-Energy </w:t>
      </w:r>
      <w:bookmarkEnd w:id="71"/>
      <w:bookmarkEnd w:id="72"/>
      <w:r w:rsidR="00DA6B7E">
        <w:t>Impacts</w:t>
      </w:r>
      <w:bookmarkEnd w:id="73"/>
    </w:p>
    <w:p w14:paraId="0D73FC70" w14:textId="62C6293F" w:rsidR="00697A88" w:rsidRPr="005A2CFE" w:rsidRDefault="00697A88" w:rsidP="00697A88">
      <w:pPr>
        <w:rPr>
          <w:rFonts w:cs="Arial"/>
          <w:szCs w:val="20"/>
        </w:rPr>
      </w:pPr>
      <w:r w:rsidRPr="005A2CFE">
        <w:rPr>
          <w:rFonts w:cs="Arial"/>
          <w:szCs w:val="20"/>
        </w:rPr>
        <w:t xml:space="preserve">Non-energy </w:t>
      </w:r>
      <w:r w:rsidR="00C16C6F">
        <w:rPr>
          <w:rFonts w:cs="Arial"/>
          <w:szCs w:val="20"/>
        </w:rPr>
        <w:t>impacts</w:t>
      </w:r>
      <w:r w:rsidR="00C16C6F" w:rsidRPr="005A2CFE">
        <w:rPr>
          <w:rFonts w:cs="Arial"/>
          <w:szCs w:val="20"/>
        </w:rPr>
        <w:t xml:space="preserve"> </w:t>
      </w:r>
      <w:r w:rsidRPr="005A2CFE">
        <w:rPr>
          <w:rFonts w:cs="Arial"/>
          <w:szCs w:val="20"/>
        </w:rPr>
        <w:t xml:space="preserve">for this measure have not been </w:t>
      </w:r>
      <w:r w:rsidR="009D7F4D" w:rsidRPr="005A2CFE">
        <w:rPr>
          <w:rFonts w:cs="Arial"/>
          <w:szCs w:val="20"/>
        </w:rPr>
        <w:t>quantified</w:t>
      </w:r>
      <w:r w:rsidRPr="005A2CFE">
        <w:rPr>
          <w:rFonts w:cs="Arial"/>
          <w:szCs w:val="20"/>
        </w:rPr>
        <w:t>.</w:t>
      </w:r>
    </w:p>
    <w:p w14:paraId="0C37F289" w14:textId="77777777" w:rsidR="00697A88" w:rsidRDefault="00697A88" w:rsidP="004142EF"/>
    <w:p w14:paraId="7D8551BB" w14:textId="760F7D39" w:rsidR="009C31A4" w:rsidRPr="004B06E3" w:rsidRDefault="009C31A4" w:rsidP="00462BB6">
      <w:pPr>
        <w:pStyle w:val="eTRMHeading3"/>
      </w:pPr>
      <w:bookmarkStart w:id="74" w:name="_Toc20997624"/>
      <w:r>
        <w:t>DEER Differences Analysis</w:t>
      </w:r>
      <w:bookmarkEnd w:id="74"/>
    </w:p>
    <w:p w14:paraId="71278255" w14:textId="67293F02" w:rsidR="00DF1F9C" w:rsidRDefault="00C16C6F" w:rsidP="00DF1F9C">
      <w:pPr>
        <w:spacing w:line="246" w:lineRule="auto"/>
        <w:ind w:right="60"/>
        <w:rPr>
          <w:rFonts w:ascii="Times New Roman" w:eastAsia="Times New Roman" w:hAnsi="Times New Roman"/>
        </w:rPr>
      </w:pPr>
      <w:r>
        <w:t xml:space="preserve">This </w:t>
      </w:r>
      <w:r w:rsidR="00DF1F9C">
        <w:t xml:space="preserve">section provides a summary of inputs and methods from the Database of Energy Efficient Resources (DEER), and the rationale for inputs and methods that are not DEER-based. </w:t>
      </w:r>
    </w:p>
    <w:p w14:paraId="40E52659" w14:textId="3267756B" w:rsidR="006E5BB7" w:rsidRDefault="006E5BB7" w:rsidP="003570F5">
      <w:pPr>
        <w:pStyle w:val="Caption"/>
      </w:pPr>
      <w:r w:rsidRPr="00361DC2">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59D017C8" w14:textId="77777777" w:rsidTr="7358D45D">
        <w:trPr>
          <w:trHeight w:val="20"/>
        </w:trPr>
        <w:tc>
          <w:tcPr>
            <w:tcW w:w="1730" w:type="pct"/>
            <w:shd w:val="clear" w:color="auto" w:fill="F2F2F2" w:themeFill="background1" w:themeFillShade="F2"/>
          </w:tcPr>
          <w:p w14:paraId="5A1E2CE5" w14:textId="77777777" w:rsidR="00EA057C" w:rsidRPr="00EA057C" w:rsidRDefault="00EA057C" w:rsidP="00EA057C">
            <w:pPr>
              <w:keepNext/>
              <w:keepLines/>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52AD34D1" w14:textId="0CFF441B" w:rsidR="00EA057C" w:rsidRPr="00EA057C" w:rsidRDefault="00EA057C" w:rsidP="00EA057C">
            <w:pPr>
              <w:keepNext/>
              <w:keepLines/>
              <w:spacing w:before="20" w:after="20"/>
              <w:rPr>
                <w:rFonts w:cs="Arial"/>
                <w:b/>
                <w:sz w:val="20"/>
                <w:szCs w:val="20"/>
              </w:rPr>
            </w:pPr>
            <w:r>
              <w:rPr>
                <w:rFonts w:cs="Arial"/>
                <w:b/>
                <w:sz w:val="20"/>
                <w:szCs w:val="20"/>
              </w:rPr>
              <w:t xml:space="preserve">Comment / </w:t>
            </w:r>
            <w:r w:rsidRPr="00EA057C">
              <w:rPr>
                <w:rFonts w:cs="Arial"/>
                <w:b/>
                <w:sz w:val="20"/>
                <w:szCs w:val="20"/>
              </w:rPr>
              <w:t>Used for Workpaper</w:t>
            </w:r>
          </w:p>
        </w:tc>
      </w:tr>
      <w:tr w:rsidR="00D06842" w:rsidRPr="00500C4E" w14:paraId="33003020" w14:textId="77777777" w:rsidTr="7358D45D">
        <w:trPr>
          <w:trHeight w:val="20"/>
        </w:trPr>
        <w:tc>
          <w:tcPr>
            <w:tcW w:w="1730" w:type="pct"/>
          </w:tcPr>
          <w:p w14:paraId="1F2D360A" w14:textId="77777777" w:rsidR="00D06842" w:rsidRPr="00EA057C" w:rsidRDefault="00D06842" w:rsidP="00D06842">
            <w:pPr>
              <w:keepNext/>
              <w:keepLines/>
              <w:spacing w:before="20" w:after="20"/>
              <w:rPr>
                <w:rFonts w:cs="Arial"/>
                <w:sz w:val="20"/>
                <w:szCs w:val="20"/>
              </w:rPr>
            </w:pPr>
            <w:r w:rsidRPr="00EA057C">
              <w:rPr>
                <w:rFonts w:cs="Arial"/>
                <w:sz w:val="20"/>
                <w:szCs w:val="20"/>
              </w:rPr>
              <w:t>Modified DEER methodology</w:t>
            </w:r>
          </w:p>
        </w:tc>
        <w:tc>
          <w:tcPr>
            <w:tcW w:w="3270" w:type="pct"/>
          </w:tcPr>
          <w:p w14:paraId="247EE411" w14:textId="54C33C9A" w:rsidR="00D06842" w:rsidRPr="00DF1F9C" w:rsidRDefault="00DF1F9C" w:rsidP="00D06842">
            <w:pPr>
              <w:keepNext/>
              <w:keepLines/>
              <w:spacing w:before="20" w:after="20"/>
              <w:rPr>
                <w:rFonts w:cs="Arial"/>
                <w:sz w:val="20"/>
                <w:szCs w:val="20"/>
              </w:rPr>
            </w:pPr>
            <w:r w:rsidRPr="00DF1F9C">
              <w:rPr>
                <w:rFonts w:cs="Arial"/>
                <w:sz w:val="20"/>
                <w:szCs w:val="20"/>
              </w:rPr>
              <w:t>No</w:t>
            </w:r>
          </w:p>
        </w:tc>
      </w:tr>
      <w:tr w:rsidR="00D06842" w:rsidRPr="00500C4E" w14:paraId="507422EA" w14:textId="77777777" w:rsidTr="7358D45D">
        <w:trPr>
          <w:trHeight w:val="20"/>
        </w:trPr>
        <w:tc>
          <w:tcPr>
            <w:tcW w:w="1730" w:type="pct"/>
          </w:tcPr>
          <w:p w14:paraId="29430E33" w14:textId="77777777" w:rsidR="00D06842" w:rsidRPr="00EA057C" w:rsidRDefault="00D06842" w:rsidP="00D06842">
            <w:pPr>
              <w:keepNext/>
              <w:keepLines/>
              <w:spacing w:before="20" w:after="20"/>
              <w:rPr>
                <w:rFonts w:cs="Arial"/>
                <w:sz w:val="20"/>
                <w:szCs w:val="20"/>
              </w:rPr>
            </w:pPr>
            <w:r w:rsidRPr="00EA057C">
              <w:rPr>
                <w:rFonts w:cs="Arial"/>
                <w:sz w:val="20"/>
                <w:szCs w:val="20"/>
              </w:rPr>
              <w:t>Scaled DEER measure</w:t>
            </w:r>
          </w:p>
        </w:tc>
        <w:tc>
          <w:tcPr>
            <w:tcW w:w="3270" w:type="pct"/>
          </w:tcPr>
          <w:p w14:paraId="0C847473" w14:textId="7E70E33D" w:rsidR="00D06842" w:rsidRPr="00DF1F9C" w:rsidRDefault="00D06842" w:rsidP="00D06842">
            <w:pPr>
              <w:keepNext/>
              <w:keepLines/>
              <w:spacing w:before="20" w:after="20"/>
              <w:rPr>
                <w:rFonts w:cs="Arial"/>
                <w:sz w:val="20"/>
                <w:szCs w:val="20"/>
              </w:rPr>
            </w:pPr>
            <w:r w:rsidRPr="00DF1F9C">
              <w:rPr>
                <w:rFonts w:cs="Arial"/>
                <w:sz w:val="20"/>
                <w:szCs w:val="20"/>
              </w:rPr>
              <w:t>No</w:t>
            </w:r>
          </w:p>
        </w:tc>
      </w:tr>
      <w:tr w:rsidR="00D06842" w:rsidRPr="00500C4E" w14:paraId="335CDE40" w14:textId="77777777" w:rsidTr="7358D45D">
        <w:trPr>
          <w:trHeight w:val="20"/>
        </w:trPr>
        <w:tc>
          <w:tcPr>
            <w:tcW w:w="1730" w:type="pct"/>
          </w:tcPr>
          <w:p w14:paraId="126C3B42" w14:textId="77777777" w:rsidR="00D06842" w:rsidRPr="00EA057C" w:rsidRDefault="00D06842" w:rsidP="00D06842">
            <w:pPr>
              <w:keepNext/>
              <w:keepLines/>
              <w:spacing w:before="20" w:after="20"/>
              <w:rPr>
                <w:rFonts w:cs="Arial"/>
                <w:sz w:val="20"/>
                <w:szCs w:val="20"/>
              </w:rPr>
            </w:pPr>
            <w:r w:rsidRPr="00EA057C">
              <w:rPr>
                <w:rFonts w:cs="Arial"/>
                <w:sz w:val="20"/>
                <w:szCs w:val="20"/>
              </w:rPr>
              <w:t>DEER Base Case</w:t>
            </w:r>
          </w:p>
        </w:tc>
        <w:tc>
          <w:tcPr>
            <w:tcW w:w="3270" w:type="pct"/>
          </w:tcPr>
          <w:p w14:paraId="5D2A1B0E" w14:textId="7C432DB3" w:rsidR="00D06842" w:rsidRPr="00DF1F9C" w:rsidRDefault="00DF1F9C" w:rsidP="00D06842">
            <w:pPr>
              <w:keepNext/>
              <w:keepLines/>
              <w:spacing w:before="20" w:after="20"/>
              <w:rPr>
                <w:rFonts w:cs="Arial"/>
                <w:sz w:val="20"/>
                <w:szCs w:val="20"/>
              </w:rPr>
            </w:pPr>
            <w:r w:rsidRPr="00DF1F9C">
              <w:rPr>
                <w:rFonts w:cs="Arial"/>
                <w:sz w:val="20"/>
                <w:szCs w:val="20"/>
              </w:rPr>
              <w:t>Yes</w:t>
            </w:r>
          </w:p>
        </w:tc>
      </w:tr>
      <w:tr w:rsidR="00D06842" w:rsidRPr="00500C4E" w14:paraId="1F8399E1" w14:textId="77777777" w:rsidTr="7358D45D">
        <w:trPr>
          <w:trHeight w:val="20"/>
        </w:trPr>
        <w:tc>
          <w:tcPr>
            <w:tcW w:w="1730" w:type="pct"/>
          </w:tcPr>
          <w:p w14:paraId="0CC701E3" w14:textId="77777777" w:rsidR="00D06842" w:rsidRPr="00EA057C" w:rsidRDefault="00D06842" w:rsidP="00D06842">
            <w:pPr>
              <w:keepNext/>
              <w:keepLines/>
              <w:spacing w:before="20" w:after="20"/>
              <w:rPr>
                <w:rFonts w:cs="Arial"/>
                <w:sz w:val="20"/>
                <w:szCs w:val="20"/>
              </w:rPr>
            </w:pPr>
            <w:r w:rsidRPr="00EA057C">
              <w:rPr>
                <w:rFonts w:cs="Arial"/>
                <w:sz w:val="20"/>
                <w:szCs w:val="20"/>
              </w:rPr>
              <w:t>DEER Measure Case</w:t>
            </w:r>
          </w:p>
        </w:tc>
        <w:tc>
          <w:tcPr>
            <w:tcW w:w="3270" w:type="pct"/>
          </w:tcPr>
          <w:p w14:paraId="49A023A0" w14:textId="1B813226" w:rsidR="00D06842" w:rsidRPr="00DF1F9C" w:rsidRDefault="00DF1F9C" w:rsidP="00D06842">
            <w:pPr>
              <w:keepNext/>
              <w:keepLines/>
              <w:spacing w:before="20" w:after="20"/>
              <w:rPr>
                <w:rFonts w:cs="Arial"/>
                <w:sz w:val="20"/>
                <w:szCs w:val="20"/>
              </w:rPr>
            </w:pPr>
            <w:r w:rsidRPr="00DF1F9C">
              <w:rPr>
                <w:rFonts w:cs="Arial"/>
                <w:sz w:val="20"/>
                <w:szCs w:val="20"/>
              </w:rPr>
              <w:t>Yes</w:t>
            </w:r>
          </w:p>
        </w:tc>
      </w:tr>
      <w:tr w:rsidR="00D06842" w:rsidRPr="00500C4E" w14:paraId="663742C6" w14:textId="77777777" w:rsidTr="7358D45D">
        <w:trPr>
          <w:trHeight w:val="20"/>
        </w:trPr>
        <w:tc>
          <w:tcPr>
            <w:tcW w:w="1730" w:type="pct"/>
          </w:tcPr>
          <w:p w14:paraId="16B2FDAB" w14:textId="77777777" w:rsidR="00D06842" w:rsidRPr="00EA057C" w:rsidRDefault="00D06842" w:rsidP="00D06842">
            <w:pPr>
              <w:keepNext/>
              <w:keepLines/>
              <w:spacing w:before="20" w:after="20"/>
              <w:rPr>
                <w:rFonts w:cs="Arial"/>
                <w:sz w:val="20"/>
                <w:szCs w:val="20"/>
              </w:rPr>
            </w:pPr>
            <w:r w:rsidRPr="00EA057C">
              <w:rPr>
                <w:rFonts w:cs="Arial"/>
                <w:sz w:val="20"/>
                <w:szCs w:val="20"/>
              </w:rPr>
              <w:t>DEER Building Types</w:t>
            </w:r>
          </w:p>
        </w:tc>
        <w:tc>
          <w:tcPr>
            <w:tcW w:w="3270" w:type="pct"/>
          </w:tcPr>
          <w:p w14:paraId="6BBA540C" w14:textId="29397324" w:rsidR="00D06842" w:rsidRPr="00DF1F9C" w:rsidRDefault="00DF1F9C" w:rsidP="00D06842">
            <w:pPr>
              <w:keepNext/>
              <w:keepLines/>
              <w:spacing w:before="20" w:after="20"/>
              <w:rPr>
                <w:rFonts w:cs="Arial"/>
                <w:sz w:val="20"/>
                <w:szCs w:val="20"/>
              </w:rPr>
            </w:pPr>
            <w:r w:rsidRPr="00DF1F9C">
              <w:rPr>
                <w:rFonts w:cs="Arial"/>
                <w:sz w:val="20"/>
                <w:szCs w:val="20"/>
              </w:rPr>
              <w:t>Yes</w:t>
            </w:r>
          </w:p>
        </w:tc>
      </w:tr>
      <w:tr w:rsidR="00D06842" w:rsidRPr="00500C4E" w14:paraId="424F1325" w14:textId="77777777" w:rsidTr="7358D45D">
        <w:trPr>
          <w:trHeight w:val="20"/>
        </w:trPr>
        <w:tc>
          <w:tcPr>
            <w:tcW w:w="1730" w:type="pct"/>
          </w:tcPr>
          <w:p w14:paraId="71098DDA" w14:textId="77777777" w:rsidR="00D06842" w:rsidRPr="00EA057C" w:rsidRDefault="00D06842" w:rsidP="00D06842">
            <w:pPr>
              <w:keepNext/>
              <w:keepLines/>
              <w:spacing w:before="20" w:after="20"/>
              <w:rPr>
                <w:rFonts w:cs="Arial"/>
                <w:sz w:val="20"/>
                <w:szCs w:val="20"/>
              </w:rPr>
            </w:pPr>
            <w:r w:rsidRPr="00EA057C">
              <w:rPr>
                <w:rFonts w:cs="Arial"/>
                <w:sz w:val="20"/>
                <w:szCs w:val="20"/>
              </w:rPr>
              <w:t>DEER Operating Hours</w:t>
            </w:r>
          </w:p>
        </w:tc>
        <w:tc>
          <w:tcPr>
            <w:tcW w:w="3270" w:type="pct"/>
          </w:tcPr>
          <w:p w14:paraId="1693E1EE" w14:textId="061EA3DA" w:rsidR="00D06842" w:rsidRPr="00DF1F9C" w:rsidRDefault="00DF1F9C" w:rsidP="00D06842">
            <w:pPr>
              <w:keepNext/>
              <w:keepLines/>
              <w:spacing w:before="20" w:after="20"/>
              <w:rPr>
                <w:rFonts w:cs="Arial"/>
                <w:sz w:val="20"/>
                <w:szCs w:val="20"/>
              </w:rPr>
            </w:pPr>
            <w:r w:rsidRPr="00DF1F9C">
              <w:rPr>
                <w:rFonts w:cs="Arial"/>
                <w:sz w:val="20"/>
                <w:szCs w:val="20"/>
              </w:rPr>
              <w:t>Yes</w:t>
            </w:r>
          </w:p>
        </w:tc>
      </w:tr>
      <w:tr w:rsidR="00D06842" w:rsidRPr="00500C4E" w14:paraId="0B93AD47" w14:textId="77777777" w:rsidTr="7358D45D">
        <w:trPr>
          <w:trHeight w:val="20"/>
        </w:trPr>
        <w:tc>
          <w:tcPr>
            <w:tcW w:w="1730" w:type="pct"/>
          </w:tcPr>
          <w:p w14:paraId="6E9E484F" w14:textId="77777777" w:rsidR="00D06842" w:rsidRPr="00EA057C" w:rsidRDefault="00D06842" w:rsidP="00D06842">
            <w:pPr>
              <w:keepNext/>
              <w:keepLines/>
              <w:spacing w:before="20" w:after="20"/>
              <w:rPr>
                <w:rFonts w:cs="Arial"/>
                <w:sz w:val="20"/>
                <w:szCs w:val="20"/>
              </w:rPr>
            </w:pPr>
            <w:r w:rsidRPr="00EA057C">
              <w:rPr>
                <w:rFonts w:cs="Arial"/>
                <w:sz w:val="20"/>
                <w:szCs w:val="20"/>
              </w:rPr>
              <w:t>DEER eQUEST Prototypes</w:t>
            </w:r>
          </w:p>
        </w:tc>
        <w:tc>
          <w:tcPr>
            <w:tcW w:w="3270" w:type="pct"/>
          </w:tcPr>
          <w:p w14:paraId="4948DEAF" w14:textId="3680814D" w:rsidR="00D06842" w:rsidRPr="00DF1F9C" w:rsidDel="00505CEC" w:rsidRDefault="00D06842" w:rsidP="00D06842">
            <w:pPr>
              <w:keepNext/>
              <w:keepLines/>
              <w:spacing w:before="20" w:after="20"/>
              <w:rPr>
                <w:rFonts w:cs="Arial"/>
                <w:sz w:val="20"/>
                <w:szCs w:val="20"/>
              </w:rPr>
            </w:pPr>
            <w:r w:rsidRPr="00DF1F9C">
              <w:rPr>
                <w:rFonts w:cs="Arial"/>
                <w:sz w:val="20"/>
                <w:szCs w:val="20"/>
              </w:rPr>
              <w:t>No</w:t>
            </w:r>
          </w:p>
        </w:tc>
      </w:tr>
      <w:tr w:rsidR="00D06842" w:rsidRPr="00500C4E" w14:paraId="2CFDE9D3" w14:textId="77777777" w:rsidTr="7358D45D">
        <w:trPr>
          <w:trHeight w:val="180"/>
        </w:trPr>
        <w:tc>
          <w:tcPr>
            <w:tcW w:w="1730" w:type="pct"/>
          </w:tcPr>
          <w:p w14:paraId="3B6B3E22" w14:textId="77777777" w:rsidR="00D06842" w:rsidRPr="00EA057C" w:rsidRDefault="00D06842" w:rsidP="00D06842">
            <w:pPr>
              <w:keepNext/>
              <w:keepLines/>
              <w:spacing w:before="20" w:after="20"/>
              <w:rPr>
                <w:rFonts w:cs="Arial"/>
                <w:sz w:val="20"/>
                <w:szCs w:val="20"/>
              </w:rPr>
            </w:pPr>
            <w:r w:rsidRPr="00EA057C">
              <w:rPr>
                <w:rFonts w:cs="Arial"/>
                <w:sz w:val="20"/>
                <w:szCs w:val="20"/>
              </w:rPr>
              <w:t>DEER Version</w:t>
            </w:r>
          </w:p>
        </w:tc>
        <w:tc>
          <w:tcPr>
            <w:tcW w:w="3270" w:type="pct"/>
          </w:tcPr>
          <w:p w14:paraId="1C3B60D1" w14:textId="5FFE18AF" w:rsidR="00D06842" w:rsidRPr="00DF1F9C" w:rsidRDefault="00D06842" w:rsidP="00D06842">
            <w:pPr>
              <w:keepNext/>
              <w:keepLines/>
              <w:spacing w:before="20" w:after="20"/>
              <w:rPr>
                <w:rFonts w:cs="Arial"/>
                <w:sz w:val="20"/>
                <w:szCs w:val="20"/>
              </w:rPr>
            </w:pPr>
            <w:r w:rsidRPr="00DF1F9C">
              <w:rPr>
                <w:rFonts w:cs="Arial"/>
                <w:sz w:val="20"/>
                <w:szCs w:val="20"/>
              </w:rPr>
              <w:t>DEER</w:t>
            </w:r>
            <w:r w:rsidR="00A07BE3">
              <w:rPr>
                <w:rFonts w:cs="Arial"/>
                <w:sz w:val="20"/>
                <w:szCs w:val="20"/>
              </w:rPr>
              <w:t>2020</w:t>
            </w:r>
          </w:p>
        </w:tc>
      </w:tr>
      <w:tr w:rsidR="00D06842" w:rsidRPr="00500C4E" w14:paraId="3B7464D7" w14:textId="77777777" w:rsidTr="7358D45D">
        <w:trPr>
          <w:trHeight w:val="20"/>
        </w:trPr>
        <w:tc>
          <w:tcPr>
            <w:tcW w:w="1730" w:type="pct"/>
          </w:tcPr>
          <w:p w14:paraId="24000A76" w14:textId="77777777" w:rsidR="00D06842" w:rsidRPr="00EA057C" w:rsidRDefault="00D06842" w:rsidP="00D06842">
            <w:pPr>
              <w:keepNext/>
              <w:keepLines/>
              <w:spacing w:before="20" w:after="20"/>
              <w:rPr>
                <w:rFonts w:cs="Arial"/>
                <w:sz w:val="20"/>
                <w:szCs w:val="20"/>
              </w:rPr>
            </w:pPr>
            <w:r w:rsidRPr="00EA057C">
              <w:rPr>
                <w:rFonts w:cs="Arial"/>
                <w:sz w:val="20"/>
                <w:szCs w:val="20"/>
              </w:rPr>
              <w:t>Reason for Deviation from DEER</w:t>
            </w:r>
          </w:p>
        </w:tc>
        <w:tc>
          <w:tcPr>
            <w:tcW w:w="3270" w:type="pct"/>
          </w:tcPr>
          <w:p w14:paraId="125AAB90" w14:textId="045A2D50" w:rsidR="00D06842" w:rsidRPr="00DF1F9C" w:rsidRDefault="00DF1F9C" w:rsidP="00D06842">
            <w:pPr>
              <w:keepNext/>
              <w:keepLines/>
              <w:spacing w:before="20" w:after="20"/>
              <w:rPr>
                <w:rFonts w:cs="Arial"/>
                <w:sz w:val="20"/>
                <w:szCs w:val="20"/>
              </w:rPr>
            </w:pPr>
            <w:r w:rsidRPr="00DF1F9C">
              <w:rPr>
                <w:rFonts w:cs="Arial"/>
                <w:sz w:val="20"/>
                <w:szCs w:val="20"/>
              </w:rPr>
              <w:t>n/a</w:t>
            </w:r>
          </w:p>
        </w:tc>
      </w:tr>
      <w:tr w:rsidR="00D06842" w:rsidRPr="00500C4E" w14:paraId="4A7EE859" w14:textId="77777777" w:rsidTr="7358D45D">
        <w:trPr>
          <w:trHeight w:val="20"/>
        </w:trPr>
        <w:tc>
          <w:tcPr>
            <w:tcW w:w="1730" w:type="pct"/>
          </w:tcPr>
          <w:p w14:paraId="7B4D686A" w14:textId="77777777" w:rsidR="00D06842" w:rsidRPr="00EA057C" w:rsidRDefault="00D06842" w:rsidP="00D06842">
            <w:pPr>
              <w:keepNext/>
              <w:keepLines/>
              <w:spacing w:before="20" w:after="20"/>
              <w:rPr>
                <w:rFonts w:cs="Arial"/>
                <w:sz w:val="20"/>
                <w:szCs w:val="20"/>
              </w:rPr>
            </w:pPr>
            <w:r w:rsidRPr="00EA057C">
              <w:rPr>
                <w:rFonts w:cs="Arial"/>
                <w:sz w:val="20"/>
                <w:szCs w:val="20"/>
              </w:rPr>
              <w:t>DEER Measure IDs Used</w:t>
            </w:r>
          </w:p>
        </w:tc>
        <w:tc>
          <w:tcPr>
            <w:tcW w:w="3270" w:type="pct"/>
          </w:tcPr>
          <w:p w14:paraId="63ABA251" w14:textId="37E47F20" w:rsidR="00D06842" w:rsidRPr="00EA057C" w:rsidRDefault="00D06842" w:rsidP="00D06842">
            <w:pPr>
              <w:keepNext/>
              <w:keepLines/>
              <w:spacing w:before="20" w:after="20"/>
              <w:rPr>
                <w:rFonts w:cs="Arial"/>
                <w:color w:val="FF0000"/>
                <w:sz w:val="20"/>
                <w:szCs w:val="20"/>
              </w:rPr>
            </w:pPr>
          </w:p>
        </w:tc>
      </w:tr>
      <w:tr w:rsidR="00100956" w:rsidRPr="00500C4E" w14:paraId="5A83EC74" w14:textId="77777777" w:rsidTr="7358D45D">
        <w:trPr>
          <w:trHeight w:val="20"/>
        </w:trPr>
        <w:tc>
          <w:tcPr>
            <w:tcW w:w="1730" w:type="pct"/>
          </w:tcPr>
          <w:p w14:paraId="2C82A9E0" w14:textId="121308D7" w:rsidR="00100956" w:rsidRPr="00EA057C" w:rsidRDefault="00100956" w:rsidP="00D06842">
            <w:pPr>
              <w:keepNext/>
              <w:keepLines/>
              <w:spacing w:before="20" w:after="20"/>
              <w:rPr>
                <w:rFonts w:cs="Arial"/>
                <w:sz w:val="20"/>
                <w:szCs w:val="20"/>
              </w:rPr>
            </w:pPr>
            <w:r>
              <w:rPr>
                <w:rFonts w:cs="Arial"/>
                <w:sz w:val="20"/>
                <w:szCs w:val="20"/>
              </w:rPr>
              <w:t>NTG</w:t>
            </w:r>
          </w:p>
        </w:tc>
        <w:tc>
          <w:tcPr>
            <w:tcW w:w="3270" w:type="pct"/>
          </w:tcPr>
          <w:p w14:paraId="2BBBB10C" w14:textId="504EDF2D" w:rsidR="00100956" w:rsidRPr="00EA057C" w:rsidRDefault="00100956" w:rsidP="00D06842">
            <w:pPr>
              <w:keepNext/>
              <w:keepLines/>
              <w:spacing w:before="20" w:after="20"/>
              <w:rPr>
                <w:rFonts w:cs="Arial"/>
                <w:sz w:val="20"/>
                <w:szCs w:val="20"/>
              </w:rPr>
            </w:pPr>
            <w:r w:rsidRPr="0039148C">
              <w:rPr>
                <w:rFonts w:cs="Arial"/>
                <w:sz w:val="20"/>
                <w:szCs w:val="20"/>
              </w:rPr>
              <w:t>Source: DEER</w:t>
            </w:r>
            <w:r w:rsidR="40AD7556" w:rsidRPr="0039148C">
              <w:rPr>
                <w:rFonts w:cs="Arial"/>
                <w:sz w:val="20"/>
                <w:szCs w:val="20"/>
              </w:rPr>
              <w:t>20</w:t>
            </w:r>
            <w:r w:rsidR="7358D45D" w:rsidRPr="0039148C">
              <w:rPr>
                <w:rFonts w:cs="Arial"/>
                <w:sz w:val="20"/>
                <w:szCs w:val="20"/>
              </w:rPr>
              <w:t>20</w:t>
            </w:r>
            <w:r w:rsidRPr="0039148C">
              <w:rPr>
                <w:rFonts w:cs="Arial"/>
                <w:sz w:val="20"/>
                <w:szCs w:val="20"/>
              </w:rPr>
              <w:t>. The NTG of 0.</w:t>
            </w:r>
            <w:r w:rsidR="00F828D7">
              <w:rPr>
                <w:rFonts w:cs="Arial"/>
                <w:sz w:val="20"/>
                <w:szCs w:val="20"/>
              </w:rPr>
              <w:t>65</w:t>
            </w:r>
            <w:r w:rsidR="00F828D7" w:rsidRPr="0039148C">
              <w:rPr>
                <w:rFonts w:cs="Arial"/>
                <w:sz w:val="20"/>
                <w:szCs w:val="20"/>
              </w:rPr>
              <w:t xml:space="preserve"> </w:t>
            </w:r>
            <w:r w:rsidRPr="0039148C">
              <w:rPr>
                <w:rFonts w:cs="Arial"/>
                <w:sz w:val="20"/>
                <w:szCs w:val="20"/>
              </w:rPr>
              <w:t xml:space="preserve">is associated with NTG ID: </w:t>
            </w:r>
            <w:r w:rsidRPr="0002714A">
              <w:rPr>
                <w:rFonts w:cs="Arial"/>
                <w:i/>
                <w:iCs/>
                <w:sz w:val="20"/>
                <w:szCs w:val="20"/>
              </w:rPr>
              <w:t>NonRes-sAll-mHVAC-</w:t>
            </w:r>
            <w:r w:rsidR="00F828D7" w:rsidRPr="0002714A">
              <w:rPr>
                <w:rFonts w:cs="Arial"/>
                <w:i/>
                <w:iCs/>
                <w:sz w:val="20"/>
                <w:szCs w:val="20"/>
              </w:rPr>
              <w:t>DX-up</w:t>
            </w:r>
          </w:p>
        </w:tc>
      </w:tr>
      <w:tr w:rsidR="00D06842" w:rsidRPr="00500C4E" w14:paraId="131D1F9D" w14:textId="77777777" w:rsidTr="7358D45D">
        <w:trPr>
          <w:trHeight w:val="20"/>
        </w:trPr>
        <w:tc>
          <w:tcPr>
            <w:tcW w:w="1730" w:type="pct"/>
          </w:tcPr>
          <w:p w14:paraId="45FFA983" w14:textId="5F527A83" w:rsidR="00D06842" w:rsidRDefault="00D06842" w:rsidP="00D06842">
            <w:pPr>
              <w:keepNext/>
              <w:keepLines/>
              <w:spacing w:before="20" w:after="20"/>
              <w:rPr>
                <w:rFonts w:cs="Arial"/>
                <w:sz w:val="20"/>
                <w:szCs w:val="20"/>
              </w:rPr>
            </w:pPr>
            <w:r>
              <w:rPr>
                <w:rFonts w:cs="Arial"/>
                <w:sz w:val="20"/>
                <w:szCs w:val="20"/>
              </w:rPr>
              <w:t>GSIA</w:t>
            </w:r>
          </w:p>
        </w:tc>
        <w:tc>
          <w:tcPr>
            <w:tcW w:w="3270" w:type="pct"/>
          </w:tcPr>
          <w:p w14:paraId="7C16D603" w14:textId="59F9A13E" w:rsidR="00D06842" w:rsidRPr="00EA057C" w:rsidRDefault="00D06842" w:rsidP="00D06842">
            <w:pPr>
              <w:keepNext/>
              <w:keepLines/>
              <w:spacing w:before="20" w:after="20"/>
              <w:rPr>
                <w:rFonts w:cs="Arial"/>
                <w:sz w:val="20"/>
                <w:szCs w:val="20"/>
              </w:rPr>
            </w:pPr>
            <w:r>
              <w:rPr>
                <w:rFonts w:cs="Arial"/>
                <w:sz w:val="20"/>
                <w:szCs w:val="20"/>
              </w:rPr>
              <w:t xml:space="preserve">Source: DEER. The GSIA of 1.0 is associated with GSIA ID: </w:t>
            </w:r>
            <w:r>
              <w:rPr>
                <w:rFonts w:cs="Arial"/>
                <w:i/>
                <w:sz w:val="20"/>
                <w:szCs w:val="20"/>
              </w:rPr>
              <w:t>Def-GSIA</w:t>
            </w:r>
          </w:p>
        </w:tc>
      </w:tr>
      <w:tr w:rsidR="00100956" w:rsidRPr="00500C4E" w14:paraId="4D0F7E1B" w14:textId="77777777" w:rsidTr="7358D45D">
        <w:trPr>
          <w:trHeight w:val="20"/>
        </w:trPr>
        <w:tc>
          <w:tcPr>
            <w:tcW w:w="1730" w:type="pct"/>
          </w:tcPr>
          <w:p w14:paraId="103BA947" w14:textId="6665B2EA" w:rsidR="00100956" w:rsidRDefault="00100956" w:rsidP="00D06842">
            <w:pPr>
              <w:keepNext/>
              <w:keepLines/>
              <w:spacing w:before="20" w:after="20"/>
              <w:rPr>
                <w:rFonts w:cs="Arial"/>
                <w:sz w:val="20"/>
                <w:szCs w:val="20"/>
              </w:rPr>
            </w:pPr>
            <w:r>
              <w:rPr>
                <w:rFonts w:cs="Arial"/>
                <w:sz w:val="20"/>
                <w:szCs w:val="20"/>
              </w:rPr>
              <w:t>EUL/RUL</w:t>
            </w:r>
          </w:p>
        </w:tc>
        <w:tc>
          <w:tcPr>
            <w:tcW w:w="3270" w:type="pct"/>
          </w:tcPr>
          <w:p w14:paraId="5BD9C961" w14:textId="35B647DF" w:rsidR="00100956" w:rsidRPr="00EA057C" w:rsidRDefault="00100956" w:rsidP="00D06842">
            <w:pPr>
              <w:keepNext/>
              <w:keepLines/>
              <w:spacing w:before="20" w:after="20"/>
              <w:rPr>
                <w:rFonts w:cs="Arial"/>
                <w:sz w:val="20"/>
                <w:szCs w:val="20"/>
              </w:rPr>
            </w:pPr>
            <w:r>
              <w:rPr>
                <w:rFonts w:cs="Arial"/>
                <w:sz w:val="20"/>
                <w:szCs w:val="20"/>
              </w:rPr>
              <w:t xml:space="preserve">Source: DEER. The value of 15 years is associated with EUL ID: </w:t>
            </w:r>
            <w:r w:rsidRPr="005F31A6">
              <w:rPr>
                <w:rFonts w:cs="Arial"/>
                <w:i/>
                <w:sz w:val="20"/>
                <w:szCs w:val="20"/>
              </w:rPr>
              <w:t>HVAC-airAC</w:t>
            </w:r>
            <w:r>
              <w:rPr>
                <w:rFonts w:cs="Arial"/>
                <w:i/>
                <w:sz w:val="20"/>
                <w:szCs w:val="20"/>
              </w:rPr>
              <w:t>,</w:t>
            </w:r>
            <w:r w:rsidRPr="005F31A6">
              <w:rPr>
                <w:rFonts w:cs="Arial"/>
                <w:i/>
                <w:sz w:val="20"/>
                <w:szCs w:val="20"/>
              </w:rPr>
              <w:t xml:space="preserve"> HVAC-airHP</w:t>
            </w:r>
            <w:r>
              <w:rPr>
                <w:rFonts w:cs="Arial"/>
                <w:sz w:val="20"/>
                <w:szCs w:val="20"/>
              </w:rPr>
              <w:t xml:space="preserve"> </w:t>
            </w:r>
          </w:p>
        </w:tc>
      </w:tr>
    </w:tbl>
    <w:p w14:paraId="3D440479" w14:textId="77777777" w:rsidR="00EA057C" w:rsidRDefault="00EA057C" w:rsidP="004142EF">
      <w:bookmarkStart w:id="75" w:name="_Hlk516051142"/>
    </w:p>
    <w:p w14:paraId="59542C0D" w14:textId="3A68D8DD" w:rsidR="007D230B" w:rsidRDefault="007D230B" w:rsidP="00462BB6">
      <w:pPr>
        <w:pStyle w:val="eTRMHeading3"/>
      </w:pPr>
      <w:bookmarkStart w:id="76" w:name="_Toc486490866"/>
      <w:bookmarkStart w:id="77" w:name="_Toc486580937"/>
      <w:bookmarkStart w:id="78" w:name="_Toc20997625"/>
      <w:bookmarkStart w:id="79" w:name="_Hlk516047558"/>
      <w:r w:rsidRPr="004B06E3">
        <w:lastRenderedPageBreak/>
        <w:t>Revision History</w:t>
      </w:r>
      <w:bookmarkEnd w:id="76"/>
      <w:bookmarkEnd w:id="77"/>
      <w:bookmarkEnd w:id="78"/>
    </w:p>
    <w:p w14:paraId="6018BDC0" w14:textId="293F3D8C" w:rsidR="007F5753" w:rsidRDefault="007F5753" w:rsidP="003570F5">
      <w:pPr>
        <w:pStyle w:val="Caption"/>
      </w:pPr>
      <w:bookmarkStart w:id="80" w:name="_Hlk515959178"/>
      <w:r w:rsidRPr="00C4525F">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844"/>
        <w:gridCol w:w="1801"/>
        <w:gridCol w:w="4765"/>
      </w:tblGrid>
      <w:tr w:rsidR="00CA1CB3" w:rsidRPr="00500C4E" w14:paraId="1904D58C" w14:textId="6E96D877" w:rsidTr="0002714A">
        <w:trPr>
          <w:trHeight w:val="20"/>
        </w:trPr>
        <w:tc>
          <w:tcPr>
            <w:tcW w:w="503" w:type="pct"/>
            <w:shd w:val="clear" w:color="auto" w:fill="F2F2F2" w:themeFill="background1" w:themeFillShade="F2"/>
            <w:vAlign w:val="bottom"/>
          </w:tcPr>
          <w:p w14:paraId="5365A71C" w14:textId="5EB86E00" w:rsidR="00CA1CB3" w:rsidRPr="00EA057C" w:rsidRDefault="00CA1CB3" w:rsidP="00871123">
            <w:pPr>
              <w:keepNext/>
              <w:keepLines/>
              <w:tabs>
                <w:tab w:val="right" w:pos="2957"/>
              </w:tabs>
              <w:spacing w:before="20" w:after="20"/>
              <w:rPr>
                <w:rFonts w:cs="Arial"/>
                <w:b/>
                <w:sz w:val="20"/>
                <w:szCs w:val="20"/>
              </w:rPr>
            </w:pPr>
            <w:r>
              <w:rPr>
                <w:rFonts w:cs="Arial"/>
                <w:b/>
                <w:sz w:val="20"/>
                <w:szCs w:val="20"/>
              </w:rPr>
              <w:t>Revision Number</w:t>
            </w:r>
          </w:p>
        </w:tc>
        <w:tc>
          <w:tcPr>
            <w:tcW w:w="986" w:type="pct"/>
            <w:shd w:val="clear" w:color="auto" w:fill="F2F2F2" w:themeFill="background1" w:themeFillShade="F2"/>
            <w:vAlign w:val="bottom"/>
          </w:tcPr>
          <w:p w14:paraId="7DC8BCED" w14:textId="7B1EC03F" w:rsidR="00CA1CB3" w:rsidRPr="00EA057C" w:rsidRDefault="009D3057" w:rsidP="00871123">
            <w:pPr>
              <w:keepNext/>
              <w:keepLines/>
              <w:spacing w:before="20" w:after="20"/>
              <w:rPr>
                <w:rFonts w:cs="Arial"/>
                <w:b/>
                <w:sz w:val="20"/>
                <w:szCs w:val="20"/>
              </w:rPr>
            </w:pPr>
            <w:r>
              <w:rPr>
                <w:rFonts w:cs="Arial"/>
                <w:b/>
                <w:sz w:val="20"/>
                <w:szCs w:val="20"/>
              </w:rPr>
              <w:t xml:space="preserve">Revision Complete </w:t>
            </w:r>
            <w:r w:rsidR="00CA1CB3">
              <w:rPr>
                <w:rFonts w:cs="Arial"/>
                <w:b/>
                <w:sz w:val="20"/>
                <w:szCs w:val="20"/>
              </w:rPr>
              <w:t>Date</w:t>
            </w:r>
          </w:p>
        </w:tc>
        <w:tc>
          <w:tcPr>
            <w:tcW w:w="963" w:type="pct"/>
            <w:shd w:val="clear" w:color="auto" w:fill="F2F2F2" w:themeFill="background1" w:themeFillShade="F2"/>
            <w:vAlign w:val="bottom"/>
          </w:tcPr>
          <w:p w14:paraId="10DC2402" w14:textId="63223EB6" w:rsidR="00CA1CB3" w:rsidRDefault="00CA1CB3" w:rsidP="00871123">
            <w:pPr>
              <w:keepNext/>
              <w:keepLines/>
              <w:spacing w:before="20" w:after="20"/>
              <w:rPr>
                <w:rFonts w:cs="Arial"/>
                <w:b/>
                <w:sz w:val="20"/>
                <w:szCs w:val="20"/>
              </w:rPr>
            </w:pPr>
            <w:r>
              <w:rPr>
                <w:rFonts w:cs="Arial"/>
                <w:b/>
                <w:sz w:val="20"/>
                <w:szCs w:val="20"/>
              </w:rPr>
              <w:t>Primary Author, Title, Organization</w:t>
            </w:r>
          </w:p>
        </w:tc>
        <w:tc>
          <w:tcPr>
            <w:tcW w:w="2548" w:type="pct"/>
            <w:shd w:val="clear" w:color="auto" w:fill="F2F2F2" w:themeFill="background1" w:themeFillShade="F2"/>
            <w:vAlign w:val="bottom"/>
          </w:tcPr>
          <w:p w14:paraId="2BFB4352" w14:textId="010904A3" w:rsidR="00CA1CB3" w:rsidRDefault="00CA1CB3" w:rsidP="00871123">
            <w:pPr>
              <w:keepNext/>
              <w:keepLines/>
              <w:spacing w:before="20" w:after="20"/>
              <w:rPr>
                <w:rFonts w:cs="Arial"/>
                <w:b/>
                <w:sz w:val="20"/>
                <w:szCs w:val="20"/>
              </w:rPr>
            </w:pPr>
            <w:r>
              <w:rPr>
                <w:rFonts w:cs="Arial"/>
                <w:b/>
                <w:sz w:val="20"/>
                <w:szCs w:val="20"/>
              </w:rPr>
              <w:t>Revision Summary and Rationale for Revision</w:t>
            </w:r>
          </w:p>
        </w:tc>
      </w:tr>
      <w:tr w:rsidR="00926E50" w:rsidRPr="00CA1CB3" w14:paraId="75714D87" w14:textId="77777777" w:rsidTr="7358D45D">
        <w:trPr>
          <w:trHeight w:val="20"/>
        </w:trPr>
        <w:tc>
          <w:tcPr>
            <w:tcW w:w="503" w:type="pct"/>
          </w:tcPr>
          <w:p w14:paraId="3EB17FDC" w14:textId="77777777" w:rsidR="00926E50" w:rsidRPr="00CA1CB3" w:rsidRDefault="00926E50" w:rsidP="000F45B1">
            <w:pPr>
              <w:keepNext/>
              <w:keepLines/>
              <w:spacing w:before="20" w:after="20"/>
              <w:rPr>
                <w:rFonts w:cs="Arial"/>
                <w:sz w:val="20"/>
                <w:szCs w:val="20"/>
              </w:rPr>
            </w:pPr>
            <w:r w:rsidRPr="00CA1CB3">
              <w:rPr>
                <w:rFonts w:cs="Arial"/>
                <w:sz w:val="20"/>
                <w:szCs w:val="20"/>
              </w:rPr>
              <w:t>0</w:t>
            </w:r>
            <w:r>
              <w:rPr>
                <w:rFonts w:cs="Arial"/>
                <w:sz w:val="20"/>
                <w:szCs w:val="20"/>
              </w:rPr>
              <w:t>1</w:t>
            </w:r>
          </w:p>
        </w:tc>
        <w:tc>
          <w:tcPr>
            <w:tcW w:w="986" w:type="pct"/>
          </w:tcPr>
          <w:p w14:paraId="3A82FBF4" w14:textId="77777777" w:rsidR="00926E50" w:rsidRPr="00B558BB" w:rsidRDefault="00926E50" w:rsidP="000F45B1">
            <w:pPr>
              <w:keepNext/>
              <w:keepLines/>
              <w:spacing w:before="20" w:after="20"/>
              <w:rPr>
                <w:rFonts w:cs="Arial"/>
                <w:sz w:val="20"/>
                <w:szCs w:val="20"/>
              </w:rPr>
            </w:pPr>
            <w:r w:rsidRPr="00B558BB">
              <w:rPr>
                <w:rFonts w:cs="Arial"/>
                <w:sz w:val="20"/>
                <w:szCs w:val="20"/>
              </w:rPr>
              <w:t>06/30/2018</w:t>
            </w:r>
          </w:p>
        </w:tc>
        <w:tc>
          <w:tcPr>
            <w:tcW w:w="963" w:type="pct"/>
          </w:tcPr>
          <w:p w14:paraId="4E08A219" w14:textId="77777777" w:rsidR="00926E50" w:rsidRPr="00B558BB" w:rsidRDefault="00926E50" w:rsidP="000F45B1">
            <w:pPr>
              <w:keepNext/>
              <w:keepLines/>
              <w:spacing w:before="20" w:after="20"/>
              <w:rPr>
                <w:rFonts w:cs="Arial"/>
                <w:sz w:val="20"/>
                <w:szCs w:val="20"/>
              </w:rPr>
            </w:pPr>
            <w:r w:rsidRPr="00B558BB">
              <w:rPr>
                <w:rFonts w:cs="Arial"/>
                <w:sz w:val="20"/>
                <w:szCs w:val="20"/>
              </w:rPr>
              <w:t>Jennifer Holmes</w:t>
            </w:r>
          </w:p>
          <w:p w14:paraId="3C3F667C" w14:textId="77777777" w:rsidR="00926E50" w:rsidRPr="00B558BB" w:rsidRDefault="00926E50" w:rsidP="000F45B1">
            <w:pPr>
              <w:keepNext/>
              <w:keepLines/>
              <w:spacing w:before="20" w:after="20"/>
              <w:rPr>
                <w:rFonts w:cs="Arial"/>
                <w:sz w:val="20"/>
                <w:szCs w:val="20"/>
              </w:rPr>
            </w:pPr>
            <w:r w:rsidRPr="00B558BB">
              <w:rPr>
                <w:rFonts w:cs="Arial"/>
                <w:sz w:val="20"/>
                <w:szCs w:val="20"/>
              </w:rPr>
              <w:t>Cal TF Staff</w:t>
            </w:r>
          </w:p>
        </w:tc>
        <w:tc>
          <w:tcPr>
            <w:tcW w:w="2548" w:type="pct"/>
          </w:tcPr>
          <w:p w14:paraId="674B6EDF" w14:textId="77777777" w:rsidR="00926E50" w:rsidRDefault="00926E50" w:rsidP="000F45B1">
            <w:pPr>
              <w:keepNext/>
              <w:keepLines/>
              <w:spacing w:before="20" w:after="20"/>
              <w:rPr>
                <w:rFonts w:cs="Arial"/>
                <w:sz w:val="20"/>
                <w:szCs w:val="20"/>
              </w:rPr>
            </w:pPr>
            <w:r>
              <w:rPr>
                <w:rFonts w:cs="Arial"/>
                <w:sz w:val="20"/>
                <w:szCs w:val="20"/>
              </w:rPr>
              <w:t>Draft of consolidated text for this statewide measure is based upon:</w:t>
            </w:r>
          </w:p>
          <w:p w14:paraId="53E95A52" w14:textId="19B162B0" w:rsidR="00926E50" w:rsidRDefault="00926E50" w:rsidP="000F45B1">
            <w:pPr>
              <w:keepNext/>
              <w:keepLines/>
              <w:spacing w:before="20" w:after="20"/>
              <w:rPr>
                <w:rFonts w:cs="Arial"/>
                <w:sz w:val="20"/>
                <w:szCs w:val="20"/>
              </w:rPr>
            </w:pPr>
            <w:r>
              <w:rPr>
                <w:rFonts w:cs="Arial"/>
                <w:sz w:val="20"/>
                <w:szCs w:val="20"/>
              </w:rPr>
              <w:t>PGECOHVC128, Revision 9 (July 1, 2017)</w:t>
            </w:r>
          </w:p>
          <w:p w14:paraId="3A3AD88D" w14:textId="0CEC640D" w:rsidR="00926E50" w:rsidRDefault="00926E50" w:rsidP="000F45B1">
            <w:pPr>
              <w:keepNext/>
              <w:keepLines/>
              <w:spacing w:before="20" w:after="20"/>
              <w:rPr>
                <w:rFonts w:cs="Arial"/>
                <w:sz w:val="20"/>
                <w:szCs w:val="20"/>
              </w:rPr>
            </w:pPr>
            <w:r>
              <w:rPr>
                <w:rFonts w:cs="Arial"/>
                <w:sz w:val="20"/>
                <w:szCs w:val="20"/>
              </w:rPr>
              <w:t xml:space="preserve">WPSDGENRHC0025, Revision 0 (January 2, 2018) – short form </w:t>
            </w:r>
          </w:p>
          <w:p w14:paraId="7E926E1D" w14:textId="5DA6AEA8" w:rsidR="00926E50" w:rsidRDefault="00926E50" w:rsidP="000F45B1">
            <w:pPr>
              <w:keepNext/>
              <w:keepLines/>
              <w:spacing w:before="20" w:after="20"/>
              <w:rPr>
                <w:rFonts w:cs="Arial"/>
                <w:sz w:val="20"/>
                <w:szCs w:val="20"/>
              </w:rPr>
            </w:pPr>
            <w:r>
              <w:rPr>
                <w:rFonts w:cs="Arial"/>
                <w:sz w:val="20"/>
                <w:szCs w:val="20"/>
              </w:rPr>
              <w:t xml:space="preserve">SCE17HC035, Revision 5 (October 13, 2015) </w:t>
            </w:r>
          </w:p>
          <w:p w14:paraId="108C67A8" w14:textId="659E4F7F" w:rsidR="00926E50" w:rsidRPr="00CA1CB3" w:rsidRDefault="00926E50" w:rsidP="00926E50">
            <w:pPr>
              <w:keepNext/>
              <w:keepLines/>
              <w:spacing w:before="20" w:after="20"/>
              <w:rPr>
                <w:rFonts w:cs="Arial"/>
                <w:sz w:val="20"/>
                <w:szCs w:val="20"/>
              </w:rPr>
            </w:pPr>
            <w:r>
              <w:rPr>
                <w:rFonts w:cs="Arial"/>
                <w:sz w:val="20"/>
                <w:szCs w:val="20"/>
              </w:rPr>
              <w:t>Consensus reached among Cal TF members.</w:t>
            </w:r>
            <w:r w:rsidRPr="00CA1CB3">
              <w:rPr>
                <w:rFonts w:cs="Arial"/>
                <w:sz w:val="20"/>
                <w:szCs w:val="20"/>
              </w:rPr>
              <w:t xml:space="preserve"> </w:t>
            </w:r>
          </w:p>
        </w:tc>
      </w:tr>
      <w:tr w:rsidR="28E4438F" w14:paraId="11855A30" w14:textId="77777777" w:rsidTr="0002714A">
        <w:trPr>
          <w:trHeight w:val="20"/>
        </w:trPr>
        <w:tc>
          <w:tcPr>
            <w:tcW w:w="940" w:type="dxa"/>
          </w:tcPr>
          <w:p w14:paraId="4315447A" w14:textId="4DD1C132" w:rsidR="28E4438F" w:rsidRPr="0002714A" w:rsidRDefault="6EF43B71" w:rsidP="0002714A">
            <w:pPr>
              <w:spacing w:before="0" w:after="0"/>
              <w:rPr>
                <w:rFonts w:cs="Arial"/>
                <w:sz w:val="20"/>
                <w:szCs w:val="20"/>
              </w:rPr>
            </w:pPr>
            <w:r w:rsidRPr="0002714A">
              <w:rPr>
                <w:rFonts w:cs="Arial"/>
                <w:sz w:val="20"/>
                <w:szCs w:val="20"/>
              </w:rPr>
              <w:t>0</w:t>
            </w:r>
            <w:r w:rsidR="3281BA1D" w:rsidRPr="0002714A">
              <w:rPr>
                <w:rFonts w:cs="Arial"/>
                <w:sz w:val="20"/>
                <w:szCs w:val="20"/>
              </w:rPr>
              <w:t>1</w:t>
            </w:r>
          </w:p>
        </w:tc>
        <w:tc>
          <w:tcPr>
            <w:tcW w:w="1844" w:type="dxa"/>
          </w:tcPr>
          <w:p w14:paraId="0F13E33B" w14:textId="4D2806FF" w:rsidR="28E4438F" w:rsidRPr="0002714A" w:rsidRDefault="5FCE45EC" w:rsidP="0002714A">
            <w:pPr>
              <w:spacing w:before="0" w:after="0"/>
              <w:rPr>
                <w:rFonts w:cs="Arial"/>
                <w:sz w:val="20"/>
                <w:szCs w:val="20"/>
              </w:rPr>
            </w:pPr>
            <w:r w:rsidRPr="0002714A">
              <w:rPr>
                <w:rFonts w:cs="Arial"/>
                <w:sz w:val="20"/>
                <w:szCs w:val="20"/>
              </w:rPr>
              <w:t>1</w:t>
            </w:r>
            <w:r w:rsidR="60299761" w:rsidRPr="0002714A">
              <w:rPr>
                <w:rFonts w:cs="Arial"/>
                <w:sz w:val="20"/>
                <w:szCs w:val="20"/>
              </w:rPr>
              <w:t>0</w:t>
            </w:r>
            <w:r w:rsidRPr="0002714A">
              <w:rPr>
                <w:rFonts w:cs="Arial"/>
                <w:sz w:val="20"/>
                <w:szCs w:val="20"/>
              </w:rPr>
              <w:t>/1</w:t>
            </w:r>
            <w:r w:rsidR="62B7E2D2" w:rsidRPr="0002714A">
              <w:rPr>
                <w:rFonts w:cs="Arial"/>
                <w:sz w:val="20"/>
                <w:szCs w:val="20"/>
              </w:rPr>
              <w:t>4</w:t>
            </w:r>
            <w:r w:rsidRPr="0002714A">
              <w:rPr>
                <w:rFonts w:cs="Arial"/>
                <w:sz w:val="20"/>
                <w:szCs w:val="20"/>
              </w:rPr>
              <w:t>/2019</w:t>
            </w:r>
          </w:p>
        </w:tc>
        <w:tc>
          <w:tcPr>
            <w:tcW w:w="1801" w:type="dxa"/>
          </w:tcPr>
          <w:p w14:paraId="512250B9" w14:textId="46A7CDE5" w:rsidR="28E4438F" w:rsidRPr="0002714A" w:rsidRDefault="5FCE45EC" w:rsidP="0002714A">
            <w:pPr>
              <w:spacing w:before="0" w:after="0"/>
              <w:rPr>
                <w:rFonts w:cs="Arial"/>
                <w:sz w:val="20"/>
                <w:szCs w:val="20"/>
              </w:rPr>
            </w:pPr>
            <w:r w:rsidRPr="0002714A">
              <w:rPr>
                <w:rFonts w:cs="Arial"/>
                <w:sz w:val="20"/>
                <w:szCs w:val="20"/>
              </w:rPr>
              <w:t>Henry Liu</w:t>
            </w:r>
          </w:p>
          <w:p w14:paraId="481C8A22" w14:textId="4A495853" w:rsidR="28E4438F" w:rsidRPr="0002714A" w:rsidRDefault="5FCE45EC" w:rsidP="0002714A">
            <w:pPr>
              <w:spacing w:before="0" w:after="0"/>
              <w:rPr>
                <w:rFonts w:cs="Arial"/>
                <w:sz w:val="20"/>
                <w:szCs w:val="20"/>
              </w:rPr>
            </w:pPr>
            <w:r w:rsidRPr="0002714A">
              <w:rPr>
                <w:rFonts w:cs="Arial"/>
                <w:sz w:val="20"/>
                <w:szCs w:val="20"/>
              </w:rPr>
              <w:t>PG&amp;E</w:t>
            </w:r>
            <w:r w:rsidR="3517FB75" w:rsidRPr="0002714A">
              <w:rPr>
                <w:rFonts w:cs="Arial"/>
                <w:sz w:val="20"/>
                <w:szCs w:val="20"/>
              </w:rPr>
              <w:t>,</w:t>
            </w:r>
          </w:p>
          <w:p w14:paraId="174AD91F" w14:textId="301D2E3C" w:rsidR="28E4438F" w:rsidRPr="0002714A" w:rsidRDefault="396E7323" w:rsidP="0002714A">
            <w:pPr>
              <w:spacing w:before="0" w:after="0"/>
              <w:rPr>
                <w:rFonts w:cs="Arial"/>
                <w:sz w:val="20"/>
                <w:szCs w:val="20"/>
              </w:rPr>
            </w:pPr>
            <w:r w:rsidRPr="0002714A">
              <w:rPr>
                <w:rFonts w:cs="Arial"/>
                <w:sz w:val="20"/>
                <w:szCs w:val="20"/>
              </w:rPr>
              <w:t>Bryan Boyce and Garrett Hedberg</w:t>
            </w:r>
          </w:p>
          <w:p w14:paraId="48EF950C" w14:textId="6BB6D518" w:rsidR="28E4438F" w:rsidRPr="0002714A" w:rsidRDefault="396E7323" w:rsidP="0002714A">
            <w:pPr>
              <w:spacing w:before="0" w:after="0"/>
              <w:rPr>
                <w:rFonts w:cs="Arial"/>
                <w:sz w:val="20"/>
                <w:szCs w:val="20"/>
              </w:rPr>
            </w:pPr>
            <w:r w:rsidRPr="0002714A">
              <w:rPr>
                <w:rFonts w:cs="Arial"/>
                <w:sz w:val="20"/>
                <w:szCs w:val="20"/>
              </w:rPr>
              <w:t>Energy Solutions</w:t>
            </w:r>
          </w:p>
        </w:tc>
        <w:tc>
          <w:tcPr>
            <w:tcW w:w="4765" w:type="dxa"/>
          </w:tcPr>
          <w:p w14:paraId="1AE02BA4" w14:textId="6BC81F9E" w:rsidR="28E4438F" w:rsidRPr="0002714A" w:rsidRDefault="01A4EF58" w:rsidP="0002714A">
            <w:pPr>
              <w:spacing w:before="0" w:after="0"/>
              <w:rPr>
                <w:rFonts w:cs="Arial"/>
                <w:sz w:val="20"/>
                <w:szCs w:val="20"/>
              </w:rPr>
            </w:pPr>
            <w:r w:rsidRPr="0002714A">
              <w:rPr>
                <w:rFonts w:cs="Arial"/>
                <w:sz w:val="20"/>
                <w:szCs w:val="20"/>
              </w:rPr>
              <w:t>U</w:t>
            </w:r>
            <w:r w:rsidR="3054F302" w:rsidRPr="0002714A">
              <w:rPr>
                <w:rFonts w:cs="Arial"/>
                <w:sz w:val="20"/>
                <w:szCs w:val="20"/>
              </w:rPr>
              <w:t>pdated energy impacts with DEER2020 values</w:t>
            </w:r>
            <w:r w:rsidR="4EFB2371" w:rsidRPr="0002714A">
              <w:rPr>
                <w:rFonts w:cs="Arial"/>
                <w:sz w:val="20"/>
                <w:szCs w:val="20"/>
              </w:rPr>
              <w:t>.</w:t>
            </w:r>
          </w:p>
          <w:p w14:paraId="3F84A11A" w14:textId="0EEC2929" w:rsidR="28E4438F" w:rsidRPr="0002714A" w:rsidRDefault="266DF79A" w:rsidP="0002714A">
            <w:pPr>
              <w:spacing w:before="0" w:after="0"/>
              <w:rPr>
                <w:rFonts w:cs="Arial"/>
                <w:sz w:val="20"/>
                <w:szCs w:val="20"/>
              </w:rPr>
            </w:pPr>
            <w:r w:rsidRPr="0002714A">
              <w:rPr>
                <w:rFonts w:cs="Arial"/>
                <w:sz w:val="20"/>
                <w:szCs w:val="20"/>
              </w:rPr>
              <w:t>Se</w:t>
            </w:r>
            <w:r w:rsidR="1158941B" w:rsidRPr="0002714A">
              <w:rPr>
                <w:rFonts w:cs="Arial"/>
                <w:sz w:val="20"/>
                <w:szCs w:val="20"/>
              </w:rPr>
              <w:t>parated out heat pump measures from air conditioners (using DEER values)</w:t>
            </w:r>
            <w:r w:rsidR="675D4ACB" w:rsidRPr="0002714A">
              <w:rPr>
                <w:rFonts w:cs="Arial"/>
                <w:sz w:val="20"/>
                <w:szCs w:val="20"/>
              </w:rPr>
              <w:t>.</w:t>
            </w:r>
          </w:p>
          <w:p w14:paraId="2F2F9E43" w14:textId="0A772C14" w:rsidR="28E4438F" w:rsidRPr="0002714A" w:rsidDel="0F49A059" w:rsidRDefault="17B0772A" w:rsidP="0002714A">
            <w:pPr>
              <w:spacing w:before="0" w:after="0"/>
              <w:rPr>
                <w:rFonts w:cs="Arial"/>
                <w:sz w:val="20"/>
                <w:szCs w:val="20"/>
              </w:rPr>
            </w:pPr>
            <w:r w:rsidRPr="0002714A">
              <w:rPr>
                <w:rFonts w:cs="Arial"/>
                <w:sz w:val="20"/>
                <w:szCs w:val="20"/>
              </w:rPr>
              <w:t>Updated NTG</w:t>
            </w:r>
            <w:r w:rsidR="675D4ACB" w:rsidRPr="0002714A">
              <w:rPr>
                <w:rFonts w:cs="Arial"/>
                <w:sz w:val="20"/>
                <w:szCs w:val="20"/>
              </w:rPr>
              <w:t>.</w:t>
            </w:r>
          </w:p>
          <w:p w14:paraId="14C81A3D" w14:textId="0E688375" w:rsidR="28E4438F" w:rsidRPr="0002714A" w:rsidRDefault="7912E4EC" w:rsidP="0002714A">
            <w:pPr>
              <w:spacing w:before="0" w:after="0"/>
              <w:rPr>
                <w:rFonts w:cs="Arial"/>
                <w:sz w:val="20"/>
                <w:szCs w:val="20"/>
              </w:rPr>
            </w:pPr>
            <w:r w:rsidRPr="0002714A">
              <w:rPr>
                <w:rFonts w:cs="Arial"/>
                <w:sz w:val="20"/>
                <w:szCs w:val="20"/>
              </w:rPr>
              <w:t>F</w:t>
            </w:r>
            <w:r w:rsidR="0D700F1A" w:rsidRPr="0002714A">
              <w:rPr>
                <w:rFonts w:cs="Arial"/>
                <w:sz w:val="20"/>
                <w:szCs w:val="20"/>
              </w:rPr>
              <w:t xml:space="preserve">inalized workpaper document </w:t>
            </w:r>
            <w:r w:rsidR="53D08F30" w:rsidRPr="0002714A">
              <w:rPr>
                <w:rFonts w:cs="Arial"/>
                <w:sz w:val="20"/>
                <w:szCs w:val="20"/>
              </w:rPr>
              <w:t>in</w:t>
            </w:r>
            <w:r w:rsidR="0D700F1A" w:rsidRPr="0002714A">
              <w:rPr>
                <w:rFonts w:cs="Arial"/>
                <w:sz w:val="20"/>
                <w:szCs w:val="20"/>
              </w:rPr>
              <w:t xml:space="preserve"> statewide format and created </w:t>
            </w:r>
            <w:r w:rsidR="24270B4D" w:rsidRPr="0002714A">
              <w:rPr>
                <w:rFonts w:cs="Arial"/>
                <w:sz w:val="20"/>
                <w:szCs w:val="20"/>
              </w:rPr>
              <w:t>Measure</w:t>
            </w:r>
            <w:r w:rsidR="62B7E2D2" w:rsidRPr="0002714A">
              <w:rPr>
                <w:rFonts w:cs="Arial"/>
                <w:sz w:val="20"/>
                <w:szCs w:val="20"/>
              </w:rPr>
              <w:t>DataSpec and EAD Tables</w:t>
            </w:r>
            <w:r w:rsidR="0DFC1533" w:rsidRPr="0002714A">
              <w:rPr>
                <w:rFonts w:cs="Arial"/>
                <w:sz w:val="20"/>
                <w:szCs w:val="20"/>
              </w:rPr>
              <w:t xml:space="preserve">. </w:t>
            </w:r>
          </w:p>
        </w:tc>
      </w:tr>
      <w:tr w:rsidR="60299761" w14:paraId="0009E91A" w14:textId="77777777" w:rsidTr="0002714A">
        <w:trPr>
          <w:trHeight w:val="20"/>
        </w:trPr>
        <w:tc>
          <w:tcPr>
            <w:tcW w:w="940" w:type="dxa"/>
          </w:tcPr>
          <w:p w14:paraId="70612980" w14:textId="192F343F" w:rsidR="60299761" w:rsidRPr="0002714A" w:rsidRDefault="60299761" w:rsidP="0002714A">
            <w:pPr>
              <w:spacing w:before="0" w:after="0"/>
              <w:rPr>
                <w:rFonts w:cs="Arial"/>
                <w:sz w:val="20"/>
                <w:szCs w:val="20"/>
              </w:rPr>
            </w:pPr>
            <w:r w:rsidRPr="0002714A">
              <w:rPr>
                <w:rFonts w:cs="Arial"/>
                <w:sz w:val="20"/>
                <w:szCs w:val="20"/>
              </w:rPr>
              <w:t>01</w:t>
            </w:r>
          </w:p>
        </w:tc>
        <w:tc>
          <w:tcPr>
            <w:tcW w:w="1844" w:type="dxa"/>
          </w:tcPr>
          <w:p w14:paraId="471D39C6" w14:textId="1A38976E" w:rsidR="60299761" w:rsidRPr="0002714A" w:rsidRDefault="60299761" w:rsidP="0002714A">
            <w:pPr>
              <w:spacing w:before="0" w:after="0"/>
              <w:rPr>
                <w:rFonts w:cs="Arial"/>
                <w:sz w:val="20"/>
                <w:szCs w:val="20"/>
              </w:rPr>
            </w:pPr>
            <w:r w:rsidRPr="0002714A">
              <w:rPr>
                <w:rFonts w:cs="Arial"/>
                <w:sz w:val="20"/>
                <w:szCs w:val="20"/>
              </w:rPr>
              <w:t>11/</w:t>
            </w:r>
            <w:r w:rsidR="40619893" w:rsidRPr="0002714A">
              <w:rPr>
                <w:rFonts w:cs="Arial"/>
                <w:sz w:val="20"/>
                <w:szCs w:val="20"/>
              </w:rPr>
              <w:t>14/2019</w:t>
            </w:r>
          </w:p>
        </w:tc>
        <w:tc>
          <w:tcPr>
            <w:tcW w:w="1801" w:type="dxa"/>
          </w:tcPr>
          <w:p w14:paraId="23C91DFE" w14:textId="7256E921" w:rsidR="60299761" w:rsidRPr="0002714A" w:rsidRDefault="40619893" w:rsidP="0002714A">
            <w:pPr>
              <w:spacing w:before="0" w:after="0"/>
              <w:rPr>
                <w:rFonts w:cs="Arial"/>
                <w:sz w:val="20"/>
                <w:szCs w:val="20"/>
              </w:rPr>
            </w:pPr>
            <w:r w:rsidRPr="0002714A">
              <w:rPr>
                <w:rFonts w:cs="Arial"/>
                <w:sz w:val="20"/>
                <w:szCs w:val="20"/>
              </w:rPr>
              <w:t>Henry Liu</w:t>
            </w:r>
          </w:p>
          <w:p w14:paraId="4BA6788E" w14:textId="265983CC" w:rsidR="60299761" w:rsidRPr="0002714A" w:rsidRDefault="40619893" w:rsidP="0002714A">
            <w:pPr>
              <w:spacing w:before="0" w:after="0"/>
              <w:rPr>
                <w:rFonts w:cs="Arial"/>
                <w:sz w:val="20"/>
                <w:szCs w:val="20"/>
              </w:rPr>
            </w:pPr>
            <w:r w:rsidRPr="0002714A">
              <w:rPr>
                <w:rFonts w:cs="Arial"/>
                <w:sz w:val="20"/>
                <w:szCs w:val="20"/>
              </w:rPr>
              <w:t>PG&amp;E</w:t>
            </w:r>
            <w:r w:rsidR="3517FB75" w:rsidRPr="0002714A">
              <w:rPr>
                <w:rFonts w:cs="Arial"/>
                <w:sz w:val="20"/>
                <w:szCs w:val="20"/>
              </w:rPr>
              <w:t>,</w:t>
            </w:r>
          </w:p>
          <w:p w14:paraId="2AAC5552" w14:textId="72F3948E" w:rsidR="60299761" w:rsidRPr="0002714A" w:rsidRDefault="3517FB75" w:rsidP="0002714A">
            <w:pPr>
              <w:spacing w:before="0" w:after="0"/>
              <w:rPr>
                <w:rFonts w:cs="Arial"/>
                <w:sz w:val="20"/>
                <w:szCs w:val="20"/>
              </w:rPr>
            </w:pPr>
            <w:r w:rsidRPr="0002714A">
              <w:rPr>
                <w:rFonts w:cs="Arial"/>
                <w:sz w:val="20"/>
                <w:szCs w:val="20"/>
              </w:rPr>
              <w:t>Bryan Boyce and Garrett Hedberg</w:t>
            </w:r>
          </w:p>
          <w:p w14:paraId="12408C6E" w14:textId="29BF1162" w:rsidR="60299761" w:rsidRPr="0002714A" w:rsidRDefault="3517FB75" w:rsidP="0002714A">
            <w:pPr>
              <w:spacing w:before="0" w:after="0"/>
              <w:rPr>
                <w:rFonts w:cs="Arial"/>
                <w:sz w:val="20"/>
                <w:szCs w:val="20"/>
              </w:rPr>
            </w:pPr>
            <w:r w:rsidRPr="0002714A">
              <w:rPr>
                <w:rFonts w:cs="Arial"/>
                <w:sz w:val="20"/>
                <w:szCs w:val="20"/>
              </w:rPr>
              <w:t>Energy Solutions</w:t>
            </w:r>
          </w:p>
        </w:tc>
        <w:tc>
          <w:tcPr>
            <w:tcW w:w="4765" w:type="dxa"/>
          </w:tcPr>
          <w:p w14:paraId="4F5B1771" w14:textId="4B441191" w:rsidR="60299761" w:rsidRPr="0002714A" w:rsidRDefault="40619893" w:rsidP="0002714A">
            <w:pPr>
              <w:spacing w:before="0" w:after="0"/>
              <w:rPr>
                <w:rFonts w:cs="Arial"/>
                <w:sz w:val="20"/>
                <w:szCs w:val="20"/>
              </w:rPr>
            </w:pPr>
            <w:r w:rsidRPr="0002714A">
              <w:rPr>
                <w:rFonts w:cs="Arial"/>
                <w:sz w:val="20"/>
                <w:szCs w:val="20"/>
              </w:rPr>
              <w:t>Additional QC of EAD and MeasureDataSpec workbo</w:t>
            </w:r>
            <w:r w:rsidR="57E00E6E" w:rsidRPr="0002714A">
              <w:rPr>
                <w:rFonts w:cs="Arial"/>
                <w:sz w:val="20"/>
                <w:szCs w:val="20"/>
              </w:rPr>
              <w:t>oks</w:t>
            </w:r>
            <w:r w:rsidR="3735A8F6" w:rsidRPr="0002714A">
              <w:rPr>
                <w:rFonts w:cs="Arial"/>
                <w:sz w:val="20"/>
                <w:szCs w:val="20"/>
              </w:rPr>
              <w:t>, minor editorial/references adjusted</w:t>
            </w:r>
            <w:r w:rsidR="57E00E6E" w:rsidRPr="0002714A">
              <w:rPr>
                <w:rFonts w:cs="Arial"/>
                <w:sz w:val="20"/>
                <w:szCs w:val="20"/>
              </w:rPr>
              <w:t xml:space="preserve">. </w:t>
            </w:r>
            <w:r w:rsidR="72BC45FF" w:rsidRPr="0002714A">
              <w:rPr>
                <w:rFonts w:cs="Arial"/>
                <w:sz w:val="20"/>
                <w:szCs w:val="20"/>
              </w:rPr>
              <w:t>No</w:t>
            </w:r>
            <w:r w:rsidR="4348D147" w:rsidRPr="0002714A">
              <w:rPr>
                <w:rFonts w:cs="Arial"/>
                <w:sz w:val="20"/>
                <w:szCs w:val="20"/>
              </w:rPr>
              <w:t xml:space="preserve"> changes to savings. </w:t>
            </w:r>
          </w:p>
        </w:tc>
      </w:tr>
      <w:bookmarkEnd w:id="75"/>
      <w:bookmarkEnd w:id="79"/>
      <w:bookmarkEnd w:id="80"/>
    </w:tbl>
    <w:p w14:paraId="5C9CAB2A" w14:textId="77777777" w:rsidR="00085726" w:rsidRDefault="00085726" w:rsidP="00387072"/>
    <w:sectPr w:rsidR="00085726" w:rsidSect="0002714A">
      <w:headerReference w:type="default" r:id="rId17"/>
      <w:headerReference w:type="first" r:id="rId18"/>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DA950E" w14:textId="77777777" w:rsidR="00FB4C19" w:rsidRDefault="00FB4C19" w:rsidP="00A2690C">
      <w:r>
        <w:separator/>
      </w:r>
    </w:p>
    <w:p w14:paraId="0D95150D" w14:textId="77777777" w:rsidR="00FB4C19" w:rsidRDefault="00FB4C19"/>
  </w:endnote>
  <w:endnote w:type="continuationSeparator" w:id="0">
    <w:p w14:paraId="048A5F52" w14:textId="77777777" w:rsidR="00FB4C19" w:rsidRDefault="00FB4C19" w:rsidP="00A2690C">
      <w:r>
        <w:continuationSeparator/>
      </w:r>
    </w:p>
    <w:p w14:paraId="4B777A45" w14:textId="77777777" w:rsidR="00FB4C19" w:rsidRDefault="00FB4C19"/>
  </w:endnote>
  <w:endnote w:type="continuationNotice" w:id="1">
    <w:p w14:paraId="61155F02" w14:textId="77777777" w:rsidR="00FB4C19" w:rsidRDefault="00FB4C1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orbel"/>
    <w:charset w:val="00"/>
    <w:family w:val="swiss"/>
    <w:pitch w:val="variable"/>
    <w:sig w:usb0="8000002F" w:usb1="5000204A" w:usb2="00000000" w:usb3="00000000" w:csb0="0000009B" w:csb1="00000000"/>
  </w:font>
  <w:font w:name="Proxima Nova Regular">
    <w:altName w:val="Tahoma"/>
    <w:charset w:val="00"/>
    <w:family w:val="auto"/>
    <w:pitch w:val="variable"/>
    <w:sig w:usb0="800000AF"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Tahoma"/>
    <w:charset w:val="00"/>
    <w:family w:val="auto"/>
    <w:pitch w:val="variable"/>
    <w:sig w:usb0="800000AF" w:usb1="5000E0FB" w:usb2="00000000" w:usb3="00000000" w:csb0="0000019B"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58D06" w14:textId="77777777" w:rsidR="00F828D7" w:rsidRDefault="00F828D7"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5" name="Picture 5"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F828D7" w:rsidRPr="00B837C1" w:rsidRDefault="00F828D7"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F114B" w14:textId="77777777" w:rsidR="00F828D7" w:rsidRDefault="00F828D7"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6" name="Picture 6"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F828D7" w:rsidRPr="00B837C1" w:rsidRDefault="00F828D7"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5</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79099" w14:textId="77777777" w:rsidR="00F828D7" w:rsidRDefault="00F828D7"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1"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8" name="Picture 8"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F828D7" w:rsidRPr="005F505E" w:rsidRDefault="00F828D7"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4E38B7" w14:textId="77777777" w:rsidR="00FB4C19" w:rsidRDefault="00FB4C19" w:rsidP="00A2690C">
      <w:r>
        <w:separator/>
      </w:r>
    </w:p>
    <w:p w14:paraId="44E29C72" w14:textId="77777777" w:rsidR="00FB4C19" w:rsidRDefault="00FB4C19"/>
  </w:footnote>
  <w:footnote w:type="continuationSeparator" w:id="0">
    <w:p w14:paraId="2EF30DFE" w14:textId="77777777" w:rsidR="00FB4C19" w:rsidRDefault="00FB4C19" w:rsidP="00A2690C">
      <w:r>
        <w:continuationSeparator/>
      </w:r>
    </w:p>
    <w:p w14:paraId="3D6C8E22" w14:textId="77777777" w:rsidR="00FB4C19" w:rsidRDefault="00FB4C19"/>
  </w:footnote>
  <w:footnote w:type="continuationNotice" w:id="1">
    <w:p w14:paraId="6B2C3641" w14:textId="77777777" w:rsidR="00FB4C19" w:rsidRDefault="00FB4C19">
      <w:pPr>
        <w:spacing w:before="0" w:after="0" w:line="240" w:lineRule="auto"/>
      </w:pPr>
    </w:p>
  </w:footnote>
  <w:footnote w:id="2">
    <w:p w14:paraId="019BD025" w14:textId="75DFEDD9" w:rsidR="00F828D7" w:rsidRDefault="00F828D7">
      <w:pPr>
        <w:pStyle w:val="FootnoteText"/>
      </w:pPr>
      <w:r>
        <w:rPr>
          <w:rStyle w:val="FootnoteReference"/>
        </w:rPr>
        <w:footnoteRef/>
      </w:r>
      <w:r>
        <w:t xml:space="preserve"> Pacific Gas &amp; Electric Company (PG&amp;E). 2017. “SWHC013-01 Distributor Survey of IMC.xlsx.”</w:t>
      </w:r>
    </w:p>
  </w:footnote>
  <w:footnote w:id="3">
    <w:p w14:paraId="7B7B1DAD" w14:textId="77777777" w:rsidR="00F828D7" w:rsidRDefault="00F828D7" w:rsidP="002632D7">
      <w:pPr>
        <w:pStyle w:val="FootnoteText"/>
      </w:pPr>
      <w:r>
        <w:rPr>
          <w:rStyle w:val="FootnoteReference"/>
        </w:rPr>
        <w:footnoteRef/>
      </w:r>
      <w:r>
        <w:t xml:space="preserve"> Pacific Gas &amp; Electric Company (PG&amp;E). 2017. “SWHC013-01 Distributor Survey of IMC.xlsx.”</w:t>
      </w:r>
    </w:p>
  </w:footnote>
  <w:footnote w:id="4">
    <w:p w14:paraId="609EB161" w14:textId="7D3C70B8" w:rsidR="00F828D7" w:rsidRDefault="00F828D7" w:rsidP="000D2849">
      <w:pPr>
        <w:pStyle w:val="FootnoteText"/>
      </w:pPr>
      <w:r>
        <w:rPr>
          <w:rStyle w:val="FootnoteReference"/>
        </w:rPr>
        <w:footnoteRef/>
      </w:r>
      <w:r>
        <w:t xml:space="preserve"> Itron, Inc. 2014. </w:t>
      </w:r>
      <w:r>
        <w:rPr>
          <w:rStyle w:val="Emphasis"/>
        </w:rPr>
        <w:t xml:space="preserve">2010-2012 WO017 Ex Ante Measure Cost Study Final Report. </w:t>
      </w:r>
      <w:r>
        <w:t>Prepared for the California Public Utilities Commission. </w:t>
      </w:r>
    </w:p>
  </w:footnote>
  <w:footnote w:id="5">
    <w:p w14:paraId="1786DAE4" w14:textId="4E46E8EF" w:rsidR="00F828D7" w:rsidRDefault="00F828D7" w:rsidP="002B48F9">
      <w:pPr>
        <w:pStyle w:val="FootnoteText"/>
      </w:pPr>
      <w:r>
        <w:rPr>
          <w:rStyle w:val="FootnoteReference"/>
        </w:rPr>
        <w:footnoteRef/>
      </w:r>
      <w:r>
        <w:t xml:space="preserve"> Itron, Inc. 2014. </w:t>
      </w:r>
      <w:r>
        <w:rPr>
          <w:rStyle w:val="Emphasis"/>
        </w:rPr>
        <w:t xml:space="preserve">2010-2012 WO017 Ex Ante Measure Cost Study Final Report. </w:t>
      </w:r>
      <w:r>
        <w:t>Prepared for the California Public Utilities Commission. </w:t>
      </w:r>
    </w:p>
  </w:footnote>
  <w:footnote w:id="6">
    <w:p w14:paraId="2C665FD2" w14:textId="77777777" w:rsidR="00D21FD1" w:rsidRDefault="00D21FD1" w:rsidP="00D21FD1">
      <w:pPr>
        <w:pStyle w:val="FootnoteText"/>
      </w:pPr>
      <w:r>
        <w:rPr>
          <w:rStyle w:val="FootnoteReference"/>
        </w:rPr>
        <w:footnoteRef/>
      </w:r>
      <w:r>
        <w:t xml:space="preserve"> DNV GL. 2017. </w:t>
      </w:r>
      <w:r w:rsidRPr="003C33E3">
        <w:rPr>
          <w:i/>
          <w:iCs/>
        </w:rPr>
        <w:t xml:space="preserve">Impact Evaluation of 2015 Upstream HVAC Programs (HVAC1). </w:t>
      </w:r>
      <w:r>
        <w:t>Prepared for the California Public Utilities Commission (CPUC). April 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14C8F" w14:textId="159C53FF" w:rsidR="00F828D7" w:rsidRPr="000220A0" w:rsidRDefault="00F828D7"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F1ACE" w14:textId="28F384A1" w:rsidR="00F828D7" w:rsidRDefault="00F828D7">
    <w:pPr>
      <w:pStyle w:val="Header"/>
    </w:pPr>
    <w:r>
      <w:rPr>
        <w:rFonts w:ascii="Calibri Light" w:hAnsi="Calibri Light"/>
      </w:rPr>
      <w:t xml:space="preserve">MEASURE  END USE </w:t>
    </w:r>
    <w:r w:rsidRPr="000220A0">
      <w:rPr>
        <w:rFonts w:ascii="Calibri Light" w:hAnsi="Calibri Light"/>
      </w:rPr>
      <w:t xml:space="preserve"> </w:t>
    </w:r>
    <w:r w:rsidRPr="00181E01">
      <w:rPr>
        <w:rFonts w:ascii="Wingdings" w:eastAsia="Wingdings" w:hAnsi="Wingdings" w:cs="Wingdings"/>
        <w:color w:val="8DC63F"/>
      </w:rPr>
      <w:t></w:t>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F828D7" w:rsidRDefault="00F828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AB8AA" w14:textId="77777777" w:rsidR="00F828D7" w:rsidRDefault="00F828D7" w:rsidP="00BD221D">
    <w:pPr>
      <w:jc w:val="center"/>
    </w:pPr>
  </w:p>
  <w:p w14:paraId="342310D5" w14:textId="5BACBCD8" w:rsidR="00F828D7" w:rsidRDefault="00F828D7" w:rsidP="00BD221D">
    <w:pPr>
      <w:jc w:val="center"/>
    </w:pPr>
    <w:r>
      <w:rPr>
        <w:noProof/>
      </w:rPr>
      <w:drawing>
        <wp:inline distT="0" distB="0" distL="0" distR="0" wp14:anchorId="4B2AF0A8" wp14:editId="7258E71E">
          <wp:extent cx="937307" cy="1405961"/>
          <wp:effectExtent l="0" t="0" r="2540" b="0"/>
          <wp:docPr id="7" name="Picture 7"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6D616" w14:textId="0CBD8604" w:rsidR="00F828D7" w:rsidRPr="00C503EE" w:rsidRDefault="00F828D7" w:rsidP="001D7A57">
    <w:pPr>
      <w:pStyle w:val="Header"/>
    </w:pPr>
    <w:r>
      <w:rPr>
        <w:rFonts w:ascii="Calibri Light" w:hAnsi="Calibri Light"/>
      </w:rPr>
      <w:t xml:space="preserve">HVAC </w:t>
    </w:r>
    <w:r w:rsidRPr="000220A0">
      <w:rPr>
        <w:rFonts w:ascii="Calibri Light" w:hAnsi="Calibri Light"/>
      </w:rPr>
      <w:t xml:space="preserve"> </w:t>
    </w:r>
    <w:r w:rsidRPr="00181E01">
      <w:rPr>
        <w:rFonts w:ascii="Wingdings" w:eastAsia="Wingdings" w:hAnsi="Wingdings" w:cs="Wingdings"/>
        <w:color w:val="8DC63F"/>
      </w:rPr>
      <w:t></w:t>
    </w:r>
    <w:r w:rsidRPr="000220A0">
      <w:rPr>
        <w:rFonts w:ascii="Calibri Light" w:hAnsi="Calibri Light"/>
      </w:rPr>
      <w:t xml:space="preserve">  </w:t>
    </w:r>
    <w:r w:rsidRPr="00C503EE">
      <w:rPr>
        <w:rFonts w:ascii="Calibri Light" w:hAnsi="Calibri Light" w:cs="Calibri Light"/>
        <w:b/>
      </w:rPr>
      <w:t xml:space="preserve">Unitary Air-Cooled </w:t>
    </w:r>
    <w:r>
      <w:rPr>
        <w:rFonts w:ascii="Calibri Light" w:hAnsi="Calibri Light" w:cs="Calibri Light"/>
        <w:b/>
      </w:rPr>
      <w:t>Air Conditioner or</w:t>
    </w:r>
    <w:r w:rsidRPr="00C503EE">
      <w:rPr>
        <w:rFonts w:ascii="Calibri Light" w:hAnsi="Calibri Light" w:cs="Calibri Light"/>
        <w:b/>
      </w:rPr>
      <w:t xml:space="preserve"> Heat Pump, ≥ 65 kBtuh, Commercial</w:t>
    </w:r>
  </w:p>
  <w:p w14:paraId="2AC97B25" w14:textId="77777777" w:rsidR="00F828D7" w:rsidRDefault="00F828D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3757E" w14:textId="68B81AAC" w:rsidR="00F828D7" w:rsidRDefault="00F828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E60EB7"/>
    <w:multiLevelType w:val="hybridMultilevel"/>
    <w:tmpl w:val="615A4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1D5F95"/>
    <w:multiLevelType w:val="hybridMultilevel"/>
    <w:tmpl w:val="C2A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8"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E3C0C74"/>
    <w:multiLevelType w:val="hybridMultilevel"/>
    <w:tmpl w:val="5804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1" w15:restartNumberingAfterBreak="0">
    <w:nsid w:val="610A1111"/>
    <w:multiLevelType w:val="hybridMultilevel"/>
    <w:tmpl w:val="1EC25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C07B80"/>
    <w:multiLevelType w:val="hybridMultilevel"/>
    <w:tmpl w:val="D7F8C266"/>
    <w:lvl w:ilvl="0" w:tplc="3A4CF13A">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4"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num w:numId="1">
    <w:abstractNumId w:val="7"/>
  </w:num>
  <w:num w:numId="2">
    <w:abstractNumId w:val="13"/>
  </w:num>
  <w:num w:numId="3">
    <w:abstractNumId w:val="15"/>
  </w:num>
  <w:num w:numId="4">
    <w:abstractNumId w:val="15"/>
  </w:num>
  <w:num w:numId="5">
    <w:abstractNumId w:val="10"/>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4"/>
  </w:num>
  <w:num w:numId="8">
    <w:abstractNumId w:val="12"/>
  </w:num>
  <w:num w:numId="9">
    <w:abstractNumId w:val="0"/>
  </w:num>
  <w:num w:numId="10">
    <w:abstractNumId w:val="14"/>
  </w:num>
  <w:num w:numId="11">
    <w:abstractNumId w:val="5"/>
  </w:num>
  <w:num w:numId="12">
    <w:abstractNumId w:val="2"/>
  </w:num>
  <w:num w:numId="13">
    <w:abstractNumId w:val="11"/>
  </w:num>
  <w:num w:numId="14">
    <w:abstractNumId w:val="9"/>
  </w:num>
  <w:num w:numId="1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A08"/>
    <w:rsid w:val="00001505"/>
    <w:rsid w:val="000018D7"/>
    <w:rsid w:val="00005B06"/>
    <w:rsid w:val="000063B0"/>
    <w:rsid w:val="000110D9"/>
    <w:rsid w:val="000111AF"/>
    <w:rsid w:val="00016928"/>
    <w:rsid w:val="000220A0"/>
    <w:rsid w:val="0002284D"/>
    <w:rsid w:val="000229F1"/>
    <w:rsid w:val="0002385E"/>
    <w:rsid w:val="0002389A"/>
    <w:rsid w:val="00026D58"/>
    <w:rsid w:val="0002714A"/>
    <w:rsid w:val="000302DF"/>
    <w:rsid w:val="00031184"/>
    <w:rsid w:val="00037A06"/>
    <w:rsid w:val="00046BB0"/>
    <w:rsid w:val="00051DBB"/>
    <w:rsid w:val="00052C95"/>
    <w:rsid w:val="000530E4"/>
    <w:rsid w:val="0005587A"/>
    <w:rsid w:val="00061D34"/>
    <w:rsid w:val="000621A8"/>
    <w:rsid w:val="00065E54"/>
    <w:rsid w:val="000672E5"/>
    <w:rsid w:val="00074E3E"/>
    <w:rsid w:val="000767E9"/>
    <w:rsid w:val="0008108C"/>
    <w:rsid w:val="000841AA"/>
    <w:rsid w:val="00084EDF"/>
    <w:rsid w:val="00085726"/>
    <w:rsid w:val="00087FD4"/>
    <w:rsid w:val="00090996"/>
    <w:rsid w:val="00090BBF"/>
    <w:rsid w:val="000910B7"/>
    <w:rsid w:val="00091581"/>
    <w:rsid w:val="00094517"/>
    <w:rsid w:val="00096485"/>
    <w:rsid w:val="000978C8"/>
    <w:rsid w:val="000A270E"/>
    <w:rsid w:val="000A4D3A"/>
    <w:rsid w:val="000A62EF"/>
    <w:rsid w:val="000A66B7"/>
    <w:rsid w:val="000A7058"/>
    <w:rsid w:val="000B139B"/>
    <w:rsid w:val="000B6004"/>
    <w:rsid w:val="000B6C98"/>
    <w:rsid w:val="000C0ABA"/>
    <w:rsid w:val="000C36B4"/>
    <w:rsid w:val="000C72C1"/>
    <w:rsid w:val="000C7B77"/>
    <w:rsid w:val="000D2849"/>
    <w:rsid w:val="000E044A"/>
    <w:rsid w:val="000E7397"/>
    <w:rsid w:val="000F1833"/>
    <w:rsid w:val="000F45B1"/>
    <w:rsid w:val="00100956"/>
    <w:rsid w:val="00103399"/>
    <w:rsid w:val="0010471F"/>
    <w:rsid w:val="00104933"/>
    <w:rsid w:val="00111A53"/>
    <w:rsid w:val="0011498C"/>
    <w:rsid w:val="00120592"/>
    <w:rsid w:val="001217DF"/>
    <w:rsid w:val="0012187D"/>
    <w:rsid w:val="00124BFE"/>
    <w:rsid w:val="00126809"/>
    <w:rsid w:val="00126B25"/>
    <w:rsid w:val="00131C5A"/>
    <w:rsid w:val="00132E1A"/>
    <w:rsid w:val="00140857"/>
    <w:rsid w:val="00142D3C"/>
    <w:rsid w:val="0014500A"/>
    <w:rsid w:val="001451AB"/>
    <w:rsid w:val="001510BB"/>
    <w:rsid w:val="001516EB"/>
    <w:rsid w:val="00151B9F"/>
    <w:rsid w:val="00151FD1"/>
    <w:rsid w:val="00153BB7"/>
    <w:rsid w:val="00154391"/>
    <w:rsid w:val="001564FC"/>
    <w:rsid w:val="00157985"/>
    <w:rsid w:val="00161DF1"/>
    <w:rsid w:val="00163D92"/>
    <w:rsid w:val="001648F6"/>
    <w:rsid w:val="00171BB8"/>
    <w:rsid w:val="001725DC"/>
    <w:rsid w:val="001735AF"/>
    <w:rsid w:val="00174707"/>
    <w:rsid w:val="00177EB6"/>
    <w:rsid w:val="00180DAD"/>
    <w:rsid w:val="00181672"/>
    <w:rsid w:val="00181E01"/>
    <w:rsid w:val="00185052"/>
    <w:rsid w:val="001944A0"/>
    <w:rsid w:val="001944B4"/>
    <w:rsid w:val="00194D86"/>
    <w:rsid w:val="00195B03"/>
    <w:rsid w:val="00196649"/>
    <w:rsid w:val="0019771B"/>
    <w:rsid w:val="001A11C7"/>
    <w:rsid w:val="001A4BE1"/>
    <w:rsid w:val="001A7A21"/>
    <w:rsid w:val="001B060E"/>
    <w:rsid w:val="001B0D29"/>
    <w:rsid w:val="001B1BF5"/>
    <w:rsid w:val="001B1D23"/>
    <w:rsid w:val="001B426F"/>
    <w:rsid w:val="001B7A7D"/>
    <w:rsid w:val="001B7E4B"/>
    <w:rsid w:val="001C2ACE"/>
    <w:rsid w:val="001C4E05"/>
    <w:rsid w:val="001C6C9B"/>
    <w:rsid w:val="001C7134"/>
    <w:rsid w:val="001D656F"/>
    <w:rsid w:val="001D65A6"/>
    <w:rsid w:val="001D7A57"/>
    <w:rsid w:val="001E19A3"/>
    <w:rsid w:val="001E4C3F"/>
    <w:rsid w:val="001E6273"/>
    <w:rsid w:val="001F00E9"/>
    <w:rsid w:val="001F2EE4"/>
    <w:rsid w:val="001F735E"/>
    <w:rsid w:val="002005A8"/>
    <w:rsid w:val="002006B6"/>
    <w:rsid w:val="0020134A"/>
    <w:rsid w:val="00203BC0"/>
    <w:rsid w:val="002054AF"/>
    <w:rsid w:val="00205BAF"/>
    <w:rsid w:val="00207F85"/>
    <w:rsid w:val="0021226A"/>
    <w:rsid w:val="0021230E"/>
    <w:rsid w:val="00213481"/>
    <w:rsid w:val="00220845"/>
    <w:rsid w:val="00224A16"/>
    <w:rsid w:val="00225142"/>
    <w:rsid w:val="00226694"/>
    <w:rsid w:val="00227BDD"/>
    <w:rsid w:val="002318A4"/>
    <w:rsid w:val="00232B04"/>
    <w:rsid w:val="002335FF"/>
    <w:rsid w:val="00233D87"/>
    <w:rsid w:val="0023666C"/>
    <w:rsid w:val="00236692"/>
    <w:rsid w:val="00236E0A"/>
    <w:rsid w:val="00237964"/>
    <w:rsid w:val="002434DE"/>
    <w:rsid w:val="00245AFF"/>
    <w:rsid w:val="0024628D"/>
    <w:rsid w:val="0024690E"/>
    <w:rsid w:val="00250194"/>
    <w:rsid w:val="002505B1"/>
    <w:rsid w:val="00250B5E"/>
    <w:rsid w:val="00251ABC"/>
    <w:rsid w:val="002524CF"/>
    <w:rsid w:val="00256400"/>
    <w:rsid w:val="00262DD9"/>
    <w:rsid w:val="002632D7"/>
    <w:rsid w:val="002652D2"/>
    <w:rsid w:val="00271B18"/>
    <w:rsid w:val="00276F9B"/>
    <w:rsid w:val="002942B0"/>
    <w:rsid w:val="0029555D"/>
    <w:rsid w:val="00296193"/>
    <w:rsid w:val="00296CCB"/>
    <w:rsid w:val="0029781E"/>
    <w:rsid w:val="002A1953"/>
    <w:rsid w:val="002A2471"/>
    <w:rsid w:val="002A2A94"/>
    <w:rsid w:val="002A30D5"/>
    <w:rsid w:val="002A3C51"/>
    <w:rsid w:val="002B107C"/>
    <w:rsid w:val="002B2C97"/>
    <w:rsid w:val="002B3BF4"/>
    <w:rsid w:val="002B48F9"/>
    <w:rsid w:val="002B50AF"/>
    <w:rsid w:val="002B5CF8"/>
    <w:rsid w:val="002B6DED"/>
    <w:rsid w:val="002B6F2A"/>
    <w:rsid w:val="002B73FB"/>
    <w:rsid w:val="002C06FC"/>
    <w:rsid w:val="002C1117"/>
    <w:rsid w:val="002C3F9B"/>
    <w:rsid w:val="002C67DF"/>
    <w:rsid w:val="002C78E9"/>
    <w:rsid w:val="002D0036"/>
    <w:rsid w:val="002D17CE"/>
    <w:rsid w:val="002D29F8"/>
    <w:rsid w:val="002D40EE"/>
    <w:rsid w:val="002D4993"/>
    <w:rsid w:val="002D50E9"/>
    <w:rsid w:val="002D5CFA"/>
    <w:rsid w:val="002E0CA3"/>
    <w:rsid w:val="002E2E2C"/>
    <w:rsid w:val="002E31FB"/>
    <w:rsid w:val="002E5874"/>
    <w:rsid w:val="002F036B"/>
    <w:rsid w:val="00302A82"/>
    <w:rsid w:val="00304892"/>
    <w:rsid w:val="003103FB"/>
    <w:rsid w:val="00311722"/>
    <w:rsid w:val="00312DA7"/>
    <w:rsid w:val="00313E1D"/>
    <w:rsid w:val="003247FA"/>
    <w:rsid w:val="00324EF5"/>
    <w:rsid w:val="00327C4C"/>
    <w:rsid w:val="003309DA"/>
    <w:rsid w:val="00333809"/>
    <w:rsid w:val="00336313"/>
    <w:rsid w:val="00337D1D"/>
    <w:rsid w:val="00346A4F"/>
    <w:rsid w:val="00347A7A"/>
    <w:rsid w:val="0035060F"/>
    <w:rsid w:val="00352193"/>
    <w:rsid w:val="00352864"/>
    <w:rsid w:val="003570F5"/>
    <w:rsid w:val="00362F9E"/>
    <w:rsid w:val="00363BE8"/>
    <w:rsid w:val="00370B5D"/>
    <w:rsid w:val="00372F61"/>
    <w:rsid w:val="00381985"/>
    <w:rsid w:val="00385069"/>
    <w:rsid w:val="00386A29"/>
    <w:rsid w:val="00387072"/>
    <w:rsid w:val="003903F5"/>
    <w:rsid w:val="00392097"/>
    <w:rsid w:val="00392684"/>
    <w:rsid w:val="003B3C67"/>
    <w:rsid w:val="003B6914"/>
    <w:rsid w:val="003B7610"/>
    <w:rsid w:val="003C23CE"/>
    <w:rsid w:val="003C2CC3"/>
    <w:rsid w:val="003C3614"/>
    <w:rsid w:val="003C7721"/>
    <w:rsid w:val="003D1FB8"/>
    <w:rsid w:val="003D7104"/>
    <w:rsid w:val="003E2013"/>
    <w:rsid w:val="003E32D0"/>
    <w:rsid w:val="003E50CF"/>
    <w:rsid w:val="003E5605"/>
    <w:rsid w:val="003E599B"/>
    <w:rsid w:val="003E7BC6"/>
    <w:rsid w:val="003F21D2"/>
    <w:rsid w:val="003F269E"/>
    <w:rsid w:val="003F4964"/>
    <w:rsid w:val="003F65F3"/>
    <w:rsid w:val="00401C43"/>
    <w:rsid w:val="004046FF"/>
    <w:rsid w:val="00410790"/>
    <w:rsid w:val="00411EF4"/>
    <w:rsid w:val="004133BB"/>
    <w:rsid w:val="004142EF"/>
    <w:rsid w:val="00415AD0"/>
    <w:rsid w:val="00415B64"/>
    <w:rsid w:val="004178FD"/>
    <w:rsid w:val="00420958"/>
    <w:rsid w:val="00420EF1"/>
    <w:rsid w:val="00421920"/>
    <w:rsid w:val="00423D33"/>
    <w:rsid w:val="004249A0"/>
    <w:rsid w:val="0043155E"/>
    <w:rsid w:val="00432D49"/>
    <w:rsid w:val="004339EA"/>
    <w:rsid w:val="00433E8F"/>
    <w:rsid w:val="00434145"/>
    <w:rsid w:val="0044577B"/>
    <w:rsid w:val="00451588"/>
    <w:rsid w:val="004517F1"/>
    <w:rsid w:val="00451FF6"/>
    <w:rsid w:val="004556DF"/>
    <w:rsid w:val="00461AE3"/>
    <w:rsid w:val="00462BB6"/>
    <w:rsid w:val="00464A63"/>
    <w:rsid w:val="00466DD6"/>
    <w:rsid w:val="00470670"/>
    <w:rsid w:val="00472286"/>
    <w:rsid w:val="00475A47"/>
    <w:rsid w:val="00475A87"/>
    <w:rsid w:val="00475D57"/>
    <w:rsid w:val="00484536"/>
    <w:rsid w:val="00486585"/>
    <w:rsid w:val="0049615E"/>
    <w:rsid w:val="004964D3"/>
    <w:rsid w:val="00497289"/>
    <w:rsid w:val="004A06AE"/>
    <w:rsid w:val="004A0DD2"/>
    <w:rsid w:val="004A16F0"/>
    <w:rsid w:val="004A510D"/>
    <w:rsid w:val="004B06E3"/>
    <w:rsid w:val="004B0E62"/>
    <w:rsid w:val="004B35DC"/>
    <w:rsid w:val="004B54AE"/>
    <w:rsid w:val="004B5888"/>
    <w:rsid w:val="004B6780"/>
    <w:rsid w:val="004B7CAA"/>
    <w:rsid w:val="004C2A36"/>
    <w:rsid w:val="004C3663"/>
    <w:rsid w:val="004C57EC"/>
    <w:rsid w:val="004C69F2"/>
    <w:rsid w:val="004D0C20"/>
    <w:rsid w:val="004D1461"/>
    <w:rsid w:val="004D3A71"/>
    <w:rsid w:val="004D3CE4"/>
    <w:rsid w:val="004D450B"/>
    <w:rsid w:val="004D59AC"/>
    <w:rsid w:val="004D7E51"/>
    <w:rsid w:val="004E04EE"/>
    <w:rsid w:val="004E06C3"/>
    <w:rsid w:val="004E1B37"/>
    <w:rsid w:val="004E2704"/>
    <w:rsid w:val="004E3E07"/>
    <w:rsid w:val="004E3F72"/>
    <w:rsid w:val="004E4D01"/>
    <w:rsid w:val="004F705B"/>
    <w:rsid w:val="004F74EE"/>
    <w:rsid w:val="00500964"/>
    <w:rsid w:val="00500C66"/>
    <w:rsid w:val="00503125"/>
    <w:rsid w:val="00505B94"/>
    <w:rsid w:val="005130EC"/>
    <w:rsid w:val="005142F0"/>
    <w:rsid w:val="005146E6"/>
    <w:rsid w:val="0053049B"/>
    <w:rsid w:val="00533CD4"/>
    <w:rsid w:val="0053503B"/>
    <w:rsid w:val="00535A42"/>
    <w:rsid w:val="00535F32"/>
    <w:rsid w:val="0053748E"/>
    <w:rsid w:val="00537990"/>
    <w:rsid w:val="005449C6"/>
    <w:rsid w:val="0054541A"/>
    <w:rsid w:val="005538F2"/>
    <w:rsid w:val="00555776"/>
    <w:rsid w:val="0056177B"/>
    <w:rsid w:val="00566990"/>
    <w:rsid w:val="00566B42"/>
    <w:rsid w:val="0057165C"/>
    <w:rsid w:val="00571D95"/>
    <w:rsid w:val="005722C6"/>
    <w:rsid w:val="00580FF8"/>
    <w:rsid w:val="00585C8D"/>
    <w:rsid w:val="00585D2E"/>
    <w:rsid w:val="005862CC"/>
    <w:rsid w:val="0058647F"/>
    <w:rsid w:val="00587369"/>
    <w:rsid w:val="005911FE"/>
    <w:rsid w:val="0059312F"/>
    <w:rsid w:val="00593220"/>
    <w:rsid w:val="0059380C"/>
    <w:rsid w:val="00595758"/>
    <w:rsid w:val="00596081"/>
    <w:rsid w:val="005A2CFE"/>
    <w:rsid w:val="005A3943"/>
    <w:rsid w:val="005A4A95"/>
    <w:rsid w:val="005A51E6"/>
    <w:rsid w:val="005A632E"/>
    <w:rsid w:val="005A6871"/>
    <w:rsid w:val="005A6993"/>
    <w:rsid w:val="005A7154"/>
    <w:rsid w:val="005A74DC"/>
    <w:rsid w:val="005B7418"/>
    <w:rsid w:val="005C03A9"/>
    <w:rsid w:val="005C1D6E"/>
    <w:rsid w:val="005C2BFC"/>
    <w:rsid w:val="005C324B"/>
    <w:rsid w:val="005C43E2"/>
    <w:rsid w:val="005C454A"/>
    <w:rsid w:val="005C68AA"/>
    <w:rsid w:val="005C74C9"/>
    <w:rsid w:val="005C783E"/>
    <w:rsid w:val="005D1B14"/>
    <w:rsid w:val="005D257B"/>
    <w:rsid w:val="005D4B94"/>
    <w:rsid w:val="005D725F"/>
    <w:rsid w:val="005E1D5C"/>
    <w:rsid w:val="005E25DC"/>
    <w:rsid w:val="005E347B"/>
    <w:rsid w:val="005E52AE"/>
    <w:rsid w:val="005E5607"/>
    <w:rsid w:val="005E567C"/>
    <w:rsid w:val="005F1BB5"/>
    <w:rsid w:val="005F505E"/>
    <w:rsid w:val="00602976"/>
    <w:rsid w:val="0060388D"/>
    <w:rsid w:val="00604231"/>
    <w:rsid w:val="006068F3"/>
    <w:rsid w:val="00610C2F"/>
    <w:rsid w:val="0061532D"/>
    <w:rsid w:val="0062187C"/>
    <w:rsid w:val="00621B95"/>
    <w:rsid w:val="00622366"/>
    <w:rsid w:val="006239BC"/>
    <w:rsid w:val="006251F6"/>
    <w:rsid w:val="00625805"/>
    <w:rsid w:val="00627AC4"/>
    <w:rsid w:val="00630B9B"/>
    <w:rsid w:val="0063253B"/>
    <w:rsid w:val="006363C8"/>
    <w:rsid w:val="00637AB8"/>
    <w:rsid w:val="0064370D"/>
    <w:rsid w:val="00643771"/>
    <w:rsid w:val="00644946"/>
    <w:rsid w:val="00645388"/>
    <w:rsid w:val="00646AB8"/>
    <w:rsid w:val="00647BD9"/>
    <w:rsid w:val="00654A3E"/>
    <w:rsid w:val="006554DF"/>
    <w:rsid w:val="00657C37"/>
    <w:rsid w:val="006624A7"/>
    <w:rsid w:val="0066515F"/>
    <w:rsid w:val="006663E9"/>
    <w:rsid w:val="006668AF"/>
    <w:rsid w:val="00670A7E"/>
    <w:rsid w:val="00672418"/>
    <w:rsid w:val="0067278C"/>
    <w:rsid w:val="00676DAA"/>
    <w:rsid w:val="0067798D"/>
    <w:rsid w:val="006825F3"/>
    <w:rsid w:val="00685C44"/>
    <w:rsid w:val="00686439"/>
    <w:rsid w:val="006910F3"/>
    <w:rsid w:val="00692748"/>
    <w:rsid w:val="00693660"/>
    <w:rsid w:val="00697A88"/>
    <w:rsid w:val="00697CF1"/>
    <w:rsid w:val="006A0C4B"/>
    <w:rsid w:val="006A6051"/>
    <w:rsid w:val="006B0C09"/>
    <w:rsid w:val="006B31D9"/>
    <w:rsid w:val="006B775E"/>
    <w:rsid w:val="006B7A3B"/>
    <w:rsid w:val="006C0102"/>
    <w:rsid w:val="006C07D4"/>
    <w:rsid w:val="006C41AD"/>
    <w:rsid w:val="006C6961"/>
    <w:rsid w:val="006D04BD"/>
    <w:rsid w:val="006D47EF"/>
    <w:rsid w:val="006D6644"/>
    <w:rsid w:val="006D7180"/>
    <w:rsid w:val="006D78B8"/>
    <w:rsid w:val="006E433B"/>
    <w:rsid w:val="006E5BB7"/>
    <w:rsid w:val="006E7899"/>
    <w:rsid w:val="006E7C78"/>
    <w:rsid w:val="006F27F4"/>
    <w:rsid w:val="006F2E23"/>
    <w:rsid w:val="006F4C30"/>
    <w:rsid w:val="006F7024"/>
    <w:rsid w:val="00703A7C"/>
    <w:rsid w:val="00705DEC"/>
    <w:rsid w:val="007076DA"/>
    <w:rsid w:val="00707860"/>
    <w:rsid w:val="007119D6"/>
    <w:rsid w:val="007135A9"/>
    <w:rsid w:val="00715557"/>
    <w:rsid w:val="00717131"/>
    <w:rsid w:val="00717AA0"/>
    <w:rsid w:val="007207BF"/>
    <w:rsid w:val="00725CB0"/>
    <w:rsid w:val="0073517D"/>
    <w:rsid w:val="0073685C"/>
    <w:rsid w:val="00737EA5"/>
    <w:rsid w:val="007400AE"/>
    <w:rsid w:val="00741F3E"/>
    <w:rsid w:val="00742F88"/>
    <w:rsid w:val="00743AA8"/>
    <w:rsid w:val="00750840"/>
    <w:rsid w:val="007533F8"/>
    <w:rsid w:val="00756ADD"/>
    <w:rsid w:val="00757617"/>
    <w:rsid w:val="007614EB"/>
    <w:rsid w:val="0076370E"/>
    <w:rsid w:val="00763AD8"/>
    <w:rsid w:val="00764B2D"/>
    <w:rsid w:val="00764C09"/>
    <w:rsid w:val="00765016"/>
    <w:rsid w:val="00767EDE"/>
    <w:rsid w:val="0077100C"/>
    <w:rsid w:val="00776C39"/>
    <w:rsid w:val="00781D00"/>
    <w:rsid w:val="00782EED"/>
    <w:rsid w:val="007900F3"/>
    <w:rsid w:val="00791B69"/>
    <w:rsid w:val="00792677"/>
    <w:rsid w:val="00792DA6"/>
    <w:rsid w:val="0079498E"/>
    <w:rsid w:val="00796F10"/>
    <w:rsid w:val="007A58EA"/>
    <w:rsid w:val="007A6AB5"/>
    <w:rsid w:val="007A6C67"/>
    <w:rsid w:val="007B0220"/>
    <w:rsid w:val="007B14D9"/>
    <w:rsid w:val="007B2B46"/>
    <w:rsid w:val="007B30F2"/>
    <w:rsid w:val="007B377F"/>
    <w:rsid w:val="007B4274"/>
    <w:rsid w:val="007B443D"/>
    <w:rsid w:val="007B5117"/>
    <w:rsid w:val="007B599D"/>
    <w:rsid w:val="007B6650"/>
    <w:rsid w:val="007B6A74"/>
    <w:rsid w:val="007C2DC8"/>
    <w:rsid w:val="007D097E"/>
    <w:rsid w:val="007D0996"/>
    <w:rsid w:val="007D230B"/>
    <w:rsid w:val="007D2D80"/>
    <w:rsid w:val="007D3681"/>
    <w:rsid w:val="007D3824"/>
    <w:rsid w:val="007D49A1"/>
    <w:rsid w:val="007D59DD"/>
    <w:rsid w:val="007D73DF"/>
    <w:rsid w:val="007D7978"/>
    <w:rsid w:val="007E1F66"/>
    <w:rsid w:val="007E2CB5"/>
    <w:rsid w:val="007E4C10"/>
    <w:rsid w:val="007E6501"/>
    <w:rsid w:val="007E6C25"/>
    <w:rsid w:val="007F2B71"/>
    <w:rsid w:val="007F32D7"/>
    <w:rsid w:val="007F4F97"/>
    <w:rsid w:val="007F5753"/>
    <w:rsid w:val="007F669E"/>
    <w:rsid w:val="00801632"/>
    <w:rsid w:val="0080520B"/>
    <w:rsid w:val="00805931"/>
    <w:rsid w:val="00807B3E"/>
    <w:rsid w:val="00810D4A"/>
    <w:rsid w:val="00812CBA"/>
    <w:rsid w:val="00812F82"/>
    <w:rsid w:val="008146FD"/>
    <w:rsid w:val="00816336"/>
    <w:rsid w:val="00816AAB"/>
    <w:rsid w:val="00820402"/>
    <w:rsid w:val="00821220"/>
    <w:rsid w:val="008243B2"/>
    <w:rsid w:val="00824F08"/>
    <w:rsid w:val="00826720"/>
    <w:rsid w:val="008310DF"/>
    <w:rsid w:val="00831105"/>
    <w:rsid w:val="008315E6"/>
    <w:rsid w:val="00835487"/>
    <w:rsid w:val="008364AB"/>
    <w:rsid w:val="00844A4B"/>
    <w:rsid w:val="008516EB"/>
    <w:rsid w:val="00854676"/>
    <w:rsid w:val="008633F3"/>
    <w:rsid w:val="00864FAA"/>
    <w:rsid w:val="00865296"/>
    <w:rsid w:val="00867086"/>
    <w:rsid w:val="00871123"/>
    <w:rsid w:val="00874271"/>
    <w:rsid w:val="00874663"/>
    <w:rsid w:val="00876A42"/>
    <w:rsid w:val="00881B95"/>
    <w:rsid w:val="00882680"/>
    <w:rsid w:val="008831CA"/>
    <w:rsid w:val="00883881"/>
    <w:rsid w:val="00885611"/>
    <w:rsid w:val="0088682E"/>
    <w:rsid w:val="00887FDA"/>
    <w:rsid w:val="00891B30"/>
    <w:rsid w:val="0089272A"/>
    <w:rsid w:val="00894890"/>
    <w:rsid w:val="00897247"/>
    <w:rsid w:val="008A7D0C"/>
    <w:rsid w:val="008B08F0"/>
    <w:rsid w:val="008B262C"/>
    <w:rsid w:val="008B2DAD"/>
    <w:rsid w:val="008B34A5"/>
    <w:rsid w:val="008B6FC8"/>
    <w:rsid w:val="008C19E9"/>
    <w:rsid w:val="008C26E9"/>
    <w:rsid w:val="008C774E"/>
    <w:rsid w:val="008D0C9D"/>
    <w:rsid w:val="008D4652"/>
    <w:rsid w:val="008D6D9D"/>
    <w:rsid w:val="008E30E2"/>
    <w:rsid w:val="008F1691"/>
    <w:rsid w:val="008F22E2"/>
    <w:rsid w:val="008F5698"/>
    <w:rsid w:val="008F639E"/>
    <w:rsid w:val="00901EF2"/>
    <w:rsid w:val="0090361F"/>
    <w:rsid w:val="00903EB6"/>
    <w:rsid w:val="00904906"/>
    <w:rsid w:val="0090702F"/>
    <w:rsid w:val="009079D0"/>
    <w:rsid w:val="00911C38"/>
    <w:rsid w:val="00913D0A"/>
    <w:rsid w:val="009148A1"/>
    <w:rsid w:val="00914C43"/>
    <w:rsid w:val="00923AF0"/>
    <w:rsid w:val="00924972"/>
    <w:rsid w:val="00926E50"/>
    <w:rsid w:val="009309D7"/>
    <w:rsid w:val="00932E1E"/>
    <w:rsid w:val="00934068"/>
    <w:rsid w:val="00936348"/>
    <w:rsid w:val="00936BBC"/>
    <w:rsid w:val="00937854"/>
    <w:rsid w:val="009400F4"/>
    <w:rsid w:val="00942B27"/>
    <w:rsid w:val="009469E0"/>
    <w:rsid w:val="00951C4D"/>
    <w:rsid w:val="00952E03"/>
    <w:rsid w:val="0095396E"/>
    <w:rsid w:val="009547E2"/>
    <w:rsid w:val="00956488"/>
    <w:rsid w:val="00956F5F"/>
    <w:rsid w:val="0096036C"/>
    <w:rsid w:val="009610DC"/>
    <w:rsid w:val="009669D2"/>
    <w:rsid w:val="00971274"/>
    <w:rsid w:val="0097154F"/>
    <w:rsid w:val="0097176B"/>
    <w:rsid w:val="009742D1"/>
    <w:rsid w:val="0098297B"/>
    <w:rsid w:val="0098457F"/>
    <w:rsid w:val="00985996"/>
    <w:rsid w:val="00986978"/>
    <w:rsid w:val="00990972"/>
    <w:rsid w:val="00994F74"/>
    <w:rsid w:val="0099563A"/>
    <w:rsid w:val="009A13F4"/>
    <w:rsid w:val="009A4100"/>
    <w:rsid w:val="009A44BE"/>
    <w:rsid w:val="009B029F"/>
    <w:rsid w:val="009B27F8"/>
    <w:rsid w:val="009B419D"/>
    <w:rsid w:val="009B4A8B"/>
    <w:rsid w:val="009B74FB"/>
    <w:rsid w:val="009C0660"/>
    <w:rsid w:val="009C31A4"/>
    <w:rsid w:val="009C4845"/>
    <w:rsid w:val="009C7314"/>
    <w:rsid w:val="009D02F9"/>
    <w:rsid w:val="009D2442"/>
    <w:rsid w:val="009D3057"/>
    <w:rsid w:val="009D5D9F"/>
    <w:rsid w:val="009D7F4D"/>
    <w:rsid w:val="009E0FA2"/>
    <w:rsid w:val="009E2244"/>
    <w:rsid w:val="009E2D42"/>
    <w:rsid w:val="009E57DF"/>
    <w:rsid w:val="009F57FD"/>
    <w:rsid w:val="009F7F9F"/>
    <w:rsid w:val="00A00C11"/>
    <w:rsid w:val="00A01E02"/>
    <w:rsid w:val="00A02E26"/>
    <w:rsid w:val="00A03725"/>
    <w:rsid w:val="00A05BA0"/>
    <w:rsid w:val="00A07BE3"/>
    <w:rsid w:val="00A10C74"/>
    <w:rsid w:val="00A120A8"/>
    <w:rsid w:val="00A15886"/>
    <w:rsid w:val="00A159C9"/>
    <w:rsid w:val="00A167FB"/>
    <w:rsid w:val="00A21B70"/>
    <w:rsid w:val="00A21D02"/>
    <w:rsid w:val="00A21DDB"/>
    <w:rsid w:val="00A23CF6"/>
    <w:rsid w:val="00A24565"/>
    <w:rsid w:val="00A2690C"/>
    <w:rsid w:val="00A2792F"/>
    <w:rsid w:val="00A27CF0"/>
    <w:rsid w:val="00A30970"/>
    <w:rsid w:val="00A315E4"/>
    <w:rsid w:val="00A31D96"/>
    <w:rsid w:val="00A31FEE"/>
    <w:rsid w:val="00A33722"/>
    <w:rsid w:val="00A33C55"/>
    <w:rsid w:val="00A406C3"/>
    <w:rsid w:val="00A42875"/>
    <w:rsid w:val="00A44DC1"/>
    <w:rsid w:val="00A47168"/>
    <w:rsid w:val="00A47A98"/>
    <w:rsid w:val="00A47EE7"/>
    <w:rsid w:val="00A50B43"/>
    <w:rsid w:val="00A51C87"/>
    <w:rsid w:val="00A52A36"/>
    <w:rsid w:val="00A54197"/>
    <w:rsid w:val="00A55DAB"/>
    <w:rsid w:val="00A61821"/>
    <w:rsid w:val="00A61E3A"/>
    <w:rsid w:val="00A6255A"/>
    <w:rsid w:val="00A631BA"/>
    <w:rsid w:val="00A65C27"/>
    <w:rsid w:val="00A67CA5"/>
    <w:rsid w:val="00A75AF2"/>
    <w:rsid w:val="00A75CCD"/>
    <w:rsid w:val="00A80506"/>
    <w:rsid w:val="00A806AE"/>
    <w:rsid w:val="00A8118F"/>
    <w:rsid w:val="00A83458"/>
    <w:rsid w:val="00A86C41"/>
    <w:rsid w:val="00A90148"/>
    <w:rsid w:val="00A917F8"/>
    <w:rsid w:val="00AA0D8C"/>
    <w:rsid w:val="00AA25BC"/>
    <w:rsid w:val="00AA3077"/>
    <w:rsid w:val="00AA3E2A"/>
    <w:rsid w:val="00AA46AF"/>
    <w:rsid w:val="00AA4A40"/>
    <w:rsid w:val="00AA5AE7"/>
    <w:rsid w:val="00AB0984"/>
    <w:rsid w:val="00AB4E9E"/>
    <w:rsid w:val="00AB6C99"/>
    <w:rsid w:val="00AC11D5"/>
    <w:rsid w:val="00AC15E5"/>
    <w:rsid w:val="00AC22BB"/>
    <w:rsid w:val="00AC4080"/>
    <w:rsid w:val="00AC4EE2"/>
    <w:rsid w:val="00AC50BB"/>
    <w:rsid w:val="00AC5A6D"/>
    <w:rsid w:val="00AC5D73"/>
    <w:rsid w:val="00AC73AD"/>
    <w:rsid w:val="00AC7BED"/>
    <w:rsid w:val="00AD067D"/>
    <w:rsid w:val="00AD1220"/>
    <w:rsid w:val="00AD5FFD"/>
    <w:rsid w:val="00AD705A"/>
    <w:rsid w:val="00AD78F9"/>
    <w:rsid w:val="00AE008D"/>
    <w:rsid w:val="00AE0FCF"/>
    <w:rsid w:val="00AE19EF"/>
    <w:rsid w:val="00AE30E0"/>
    <w:rsid w:val="00AE346F"/>
    <w:rsid w:val="00AE3AD5"/>
    <w:rsid w:val="00AE3FD7"/>
    <w:rsid w:val="00AE7259"/>
    <w:rsid w:val="00AE7E38"/>
    <w:rsid w:val="00AF1B76"/>
    <w:rsid w:val="00AF2329"/>
    <w:rsid w:val="00AF3660"/>
    <w:rsid w:val="00AF7A20"/>
    <w:rsid w:val="00B01312"/>
    <w:rsid w:val="00B0224B"/>
    <w:rsid w:val="00B02D98"/>
    <w:rsid w:val="00B0441F"/>
    <w:rsid w:val="00B0618D"/>
    <w:rsid w:val="00B06685"/>
    <w:rsid w:val="00B1247E"/>
    <w:rsid w:val="00B15D2F"/>
    <w:rsid w:val="00B16036"/>
    <w:rsid w:val="00B16399"/>
    <w:rsid w:val="00B1736E"/>
    <w:rsid w:val="00B1760F"/>
    <w:rsid w:val="00B204C7"/>
    <w:rsid w:val="00B2586D"/>
    <w:rsid w:val="00B25AE4"/>
    <w:rsid w:val="00B265C9"/>
    <w:rsid w:val="00B26909"/>
    <w:rsid w:val="00B27664"/>
    <w:rsid w:val="00B31169"/>
    <w:rsid w:val="00B31828"/>
    <w:rsid w:val="00B372DE"/>
    <w:rsid w:val="00B378DE"/>
    <w:rsid w:val="00B41E25"/>
    <w:rsid w:val="00B42BEE"/>
    <w:rsid w:val="00B452B7"/>
    <w:rsid w:val="00B458E3"/>
    <w:rsid w:val="00B518FF"/>
    <w:rsid w:val="00B54F17"/>
    <w:rsid w:val="00B55321"/>
    <w:rsid w:val="00B561EE"/>
    <w:rsid w:val="00B57D47"/>
    <w:rsid w:val="00B61584"/>
    <w:rsid w:val="00B6210E"/>
    <w:rsid w:val="00B632E3"/>
    <w:rsid w:val="00B64DC8"/>
    <w:rsid w:val="00B704E2"/>
    <w:rsid w:val="00B70688"/>
    <w:rsid w:val="00B713E0"/>
    <w:rsid w:val="00B75FD9"/>
    <w:rsid w:val="00B77091"/>
    <w:rsid w:val="00B809D1"/>
    <w:rsid w:val="00B837C1"/>
    <w:rsid w:val="00B841E0"/>
    <w:rsid w:val="00B860BA"/>
    <w:rsid w:val="00B865F5"/>
    <w:rsid w:val="00B870A0"/>
    <w:rsid w:val="00B8774C"/>
    <w:rsid w:val="00B91DFE"/>
    <w:rsid w:val="00B92858"/>
    <w:rsid w:val="00B966E9"/>
    <w:rsid w:val="00B96BC7"/>
    <w:rsid w:val="00B97229"/>
    <w:rsid w:val="00BA08A3"/>
    <w:rsid w:val="00BA3D7D"/>
    <w:rsid w:val="00BA492B"/>
    <w:rsid w:val="00BA5AB3"/>
    <w:rsid w:val="00BB0C95"/>
    <w:rsid w:val="00BB227E"/>
    <w:rsid w:val="00BB4F22"/>
    <w:rsid w:val="00BB7E3D"/>
    <w:rsid w:val="00BC3CD1"/>
    <w:rsid w:val="00BC5EC6"/>
    <w:rsid w:val="00BC5F0E"/>
    <w:rsid w:val="00BD2211"/>
    <w:rsid w:val="00BD221D"/>
    <w:rsid w:val="00BD3E65"/>
    <w:rsid w:val="00BD5934"/>
    <w:rsid w:val="00BD7785"/>
    <w:rsid w:val="00BD7D60"/>
    <w:rsid w:val="00BE35FF"/>
    <w:rsid w:val="00BE3B2E"/>
    <w:rsid w:val="00BE7DE8"/>
    <w:rsid w:val="00BF0BAE"/>
    <w:rsid w:val="00BF1399"/>
    <w:rsid w:val="00BF1CBD"/>
    <w:rsid w:val="00BF34E8"/>
    <w:rsid w:val="00BF52C4"/>
    <w:rsid w:val="00BF62EC"/>
    <w:rsid w:val="00C006BE"/>
    <w:rsid w:val="00C01E6F"/>
    <w:rsid w:val="00C05B8E"/>
    <w:rsid w:val="00C1063D"/>
    <w:rsid w:val="00C15E0E"/>
    <w:rsid w:val="00C16C6F"/>
    <w:rsid w:val="00C23FB5"/>
    <w:rsid w:val="00C24A1A"/>
    <w:rsid w:val="00C331BB"/>
    <w:rsid w:val="00C35984"/>
    <w:rsid w:val="00C41A08"/>
    <w:rsid w:val="00C422B9"/>
    <w:rsid w:val="00C4240A"/>
    <w:rsid w:val="00C4241E"/>
    <w:rsid w:val="00C4328C"/>
    <w:rsid w:val="00C47A6D"/>
    <w:rsid w:val="00C503EE"/>
    <w:rsid w:val="00C504EC"/>
    <w:rsid w:val="00C50EFE"/>
    <w:rsid w:val="00C563B6"/>
    <w:rsid w:val="00C60E6F"/>
    <w:rsid w:val="00C615A3"/>
    <w:rsid w:val="00C6198D"/>
    <w:rsid w:val="00C635DA"/>
    <w:rsid w:val="00C639E7"/>
    <w:rsid w:val="00C659BE"/>
    <w:rsid w:val="00C75532"/>
    <w:rsid w:val="00C80300"/>
    <w:rsid w:val="00C813DE"/>
    <w:rsid w:val="00C81F54"/>
    <w:rsid w:val="00C82307"/>
    <w:rsid w:val="00C8613B"/>
    <w:rsid w:val="00C865F9"/>
    <w:rsid w:val="00C86766"/>
    <w:rsid w:val="00C86976"/>
    <w:rsid w:val="00C900DE"/>
    <w:rsid w:val="00C91A18"/>
    <w:rsid w:val="00C92622"/>
    <w:rsid w:val="00C97228"/>
    <w:rsid w:val="00C9780D"/>
    <w:rsid w:val="00CA02DA"/>
    <w:rsid w:val="00CA1A54"/>
    <w:rsid w:val="00CA1CB3"/>
    <w:rsid w:val="00CA655A"/>
    <w:rsid w:val="00CA7D0C"/>
    <w:rsid w:val="00CB2AD9"/>
    <w:rsid w:val="00CB7D7B"/>
    <w:rsid w:val="00CC46B2"/>
    <w:rsid w:val="00CC5718"/>
    <w:rsid w:val="00CD1352"/>
    <w:rsid w:val="00CD1CBE"/>
    <w:rsid w:val="00CD1E3E"/>
    <w:rsid w:val="00CD2EDC"/>
    <w:rsid w:val="00CD32E2"/>
    <w:rsid w:val="00CD4B0B"/>
    <w:rsid w:val="00CD6698"/>
    <w:rsid w:val="00CE0E0D"/>
    <w:rsid w:val="00CE1E5B"/>
    <w:rsid w:val="00CF1D92"/>
    <w:rsid w:val="00CF2416"/>
    <w:rsid w:val="00CF2D92"/>
    <w:rsid w:val="00CF5D91"/>
    <w:rsid w:val="00CF74E7"/>
    <w:rsid w:val="00D0025C"/>
    <w:rsid w:val="00D004FB"/>
    <w:rsid w:val="00D02BBC"/>
    <w:rsid w:val="00D02C36"/>
    <w:rsid w:val="00D06583"/>
    <w:rsid w:val="00D06842"/>
    <w:rsid w:val="00D12172"/>
    <w:rsid w:val="00D12B8C"/>
    <w:rsid w:val="00D200F6"/>
    <w:rsid w:val="00D21646"/>
    <w:rsid w:val="00D2171F"/>
    <w:rsid w:val="00D21FD1"/>
    <w:rsid w:val="00D354C2"/>
    <w:rsid w:val="00D36A3A"/>
    <w:rsid w:val="00D438D3"/>
    <w:rsid w:val="00D454F2"/>
    <w:rsid w:val="00D47CE9"/>
    <w:rsid w:val="00D52995"/>
    <w:rsid w:val="00D556F2"/>
    <w:rsid w:val="00D562A9"/>
    <w:rsid w:val="00D60425"/>
    <w:rsid w:val="00D61664"/>
    <w:rsid w:val="00D72ADE"/>
    <w:rsid w:val="00D73325"/>
    <w:rsid w:val="00D75233"/>
    <w:rsid w:val="00D75994"/>
    <w:rsid w:val="00D7728F"/>
    <w:rsid w:val="00D77696"/>
    <w:rsid w:val="00D81377"/>
    <w:rsid w:val="00D81CC4"/>
    <w:rsid w:val="00D9765E"/>
    <w:rsid w:val="00DA1473"/>
    <w:rsid w:val="00DA4591"/>
    <w:rsid w:val="00DA6430"/>
    <w:rsid w:val="00DA681A"/>
    <w:rsid w:val="00DA6B7E"/>
    <w:rsid w:val="00DB0923"/>
    <w:rsid w:val="00DB568B"/>
    <w:rsid w:val="00DB57F0"/>
    <w:rsid w:val="00DB63BE"/>
    <w:rsid w:val="00DB63DB"/>
    <w:rsid w:val="00DB7824"/>
    <w:rsid w:val="00DC308E"/>
    <w:rsid w:val="00DC4653"/>
    <w:rsid w:val="00DC5E0F"/>
    <w:rsid w:val="00DC6C76"/>
    <w:rsid w:val="00DC7F73"/>
    <w:rsid w:val="00DD237D"/>
    <w:rsid w:val="00DD23C6"/>
    <w:rsid w:val="00DE191A"/>
    <w:rsid w:val="00DE1A0F"/>
    <w:rsid w:val="00DE3123"/>
    <w:rsid w:val="00DE339F"/>
    <w:rsid w:val="00DE65D3"/>
    <w:rsid w:val="00DF1535"/>
    <w:rsid w:val="00DF1CC3"/>
    <w:rsid w:val="00DF1F9C"/>
    <w:rsid w:val="00DF53F5"/>
    <w:rsid w:val="00DF61FD"/>
    <w:rsid w:val="00DF6226"/>
    <w:rsid w:val="00DF6D25"/>
    <w:rsid w:val="00E00FE3"/>
    <w:rsid w:val="00E03C6D"/>
    <w:rsid w:val="00E11EE3"/>
    <w:rsid w:val="00E1255C"/>
    <w:rsid w:val="00E135F9"/>
    <w:rsid w:val="00E14349"/>
    <w:rsid w:val="00E1683B"/>
    <w:rsid w:val="00E20C28"/>
    <w:rsid w:val="00E22A77"/>
    <w:rsid w:val="00E22E84"/>
    <w:rsid w:val="00E24B18"/>
    <w:rsid w:val="00E3016C"/>
    <w:rsid w:val="00E348BC"/>
    <w:rsid w:val="00E348E4"/>
    <w:rsid w:val="00E35893"/>
    <w:rsid w:val="00E35B8D"/>
    <w:rsid w:val="00E4307D"/>
    <w:rsid w:val="00E4318F"/>
    <w:rsid w:val="00E4392E"/>
    <w:rsid w:val="00E50B9E"/>
    <w:rsid w:val="00E54395"/>
    <w:rsid w:val="00E54741"/>
    <w:rsid w:val="00E55DB3"/>
    <w:rsid w:val="00E568E5"/>
    <w:rsid w:val="00E57AAD"/>
    <w:rsid w:val="00E627E5"/>
    <w:rsid w:val="00E6453F"/>
    <w:rsid w:val="00E659EF"/>
    <w:rsid w:val="00E66A90"/>
    <w:rsid w:val="00E677A6"/>
    <w:rsid w:val="00E7084F"/>
    <w:rsid w:val="00E70CBD"/>
    <w:rsid w:val="00E717E8"/>
    <w:rsid w:val="00E72BAF"/>
    <w:rsid w:val="00E73D81"/>
    <w:rsid w:val="00E754F4"/>
    <w:rsid w:val="00E80023"/>
    <w:rsid w:val="00E865D1"/>
    <w:rsid w:val="00EA057C"/>
    <w:rsid w:val="00EA2D3D"/>
    <w:rsid w:val="00EA5B84"/>
    <w:rsid w:val="00EB20F9"/>
    <w:rsid w:val="00EB24EB"/>
    <w:rsid w:val="00EB34AF"/>
    <w:rsid w:val="00EB4719"/>
    <w:rsid w:val="00EC4235"/>
    <w:rsid w:val="00ED06CC"/>
    <w:rsid w:val="00ED19E0"/>
    <w:rsid w:val="00ED2C8E"/>
    <w:rsid w:val="00ED379E"/>
    <w:rsid w:val="00ED7680"/>
    <w:rsid w:val="00EE0424"/>
    <w:rsid w:val="00EE0D47"/>
    <w:rsid w:val="00EE5358"/>
    <w:rsid w:val="00EE7FD7"/>
    <w:rsid w:val="00EF1B6A"/>
    <w:rsid w:val="00EF3C59"/>
    <w:rsid w:val="00EF54D8"/>
    <w:rsid w:val="00EF71E9"/>
    <w:rsid w:val="00F006D2"/>
    <w:rsid w:val="00F00BD1"/>
    <w:rsid w:val="00F01FD9"/>
    <w:rsid w:val="00F042F9"/>
    <w:rsid w:val="00F04B07"/>
    <w:rsid w:val="00F05BA8"/>
    <w:rsid w:val="00F16F13"/>
    <w:rsid w:val="00F20AEA"/>
    <w:rsid w:val="00F219C3"/>
    <w:rsid w:val="00F23E9A"/>
    <w:rsid w:val="00F242D9"/>
    <w:rsid w:val="00F259FE"/>
    <w:rsid w:val="00F3715D"/>
    <w:rsid w:val="00F44B62"/>
    <w:rsid w:val="00F5072C"/>
    <w:rsid w:val="00F51CBF"/>
    <w:rsid w:val="00F526D5"/>
    <w:rsid w:val="00F5411D"/>
    <w:rsid w:val="00F56D2B"/>
    <w:rsid w:val="00F57D2D"/>
    <w:rsid w:val="00F606D8"/>
    <w:rsid w:val="00F62A49"/>
    <w:rsid w:val="00F64F0D"/>
    <w:rsid w:val="00F7026A"/>
    <w:rsid w:val="00F71826"/>
    <w:rsid w:val="00F72B45"/>
    <w:rsid w:val="00F73B00"/>
    <w:rsid w:val="00F764EE"/>
    <w:rsid w:val="00F828D7"/>
    <w:rsid w:val="00F84737"/>
    <w:rsid w:val="00F8723D"/>
    <w:rsid w:val="00F87B69"/>
    <w:rsid w:val="00F90C95"/>
    <w:rsid w:val="00F9103E"/>
    <w:rsid w:val="00F9194F"/>
    <w:rsid w:val="00F95923"/>
    <w:rsid w:val="00F96A39"/>
    <w:rsid w:val="00F96DB3"/>
    <w:rsid w:val="00F97463"/>
    <w:rsid w:val="00FA49EE"/>
    <w:rsid w:val="00FA4B50"/>
    <w:rsid w:val="00FA4DC6"/>
    <w:rsid w:val="00FA5D99"/>
    <w:rsid w:val="00FB030E"/>
    <w:rsid w:val="00FB0503"/>
    <w:rsid w:val="00FB395B"/>
    <w:rsid w:val="00FB4C19"/>
    <w:rsid w:val="00FB4FA2"/>
    <w:rsid w:val="00FB571F"/>
    <w:rsid w:val="00FC42BA"/>
    <w:rsid w:val="00FC4CC7"/>
    <w:rsid w:val="00FC6166"/>
    <w:rsid w:val="00FC77BB"/>
    <w:rsid w:val="00FD08C1"/>
    <w:rsid w:val="00FD2C54"/>
    <w:rsid w:val="00FD7A7A"/>
    <w:rsid w:val="00FE10C1"/>
    <w:rsid w:val="00FE190E"/>
    <w:rsid w:val="00FE1E55"/>
    <w:rsid w:val="00FE20A9"/>
    <w:rsid w:val="00FE48A9"/>
    <w:rsid w:val="00FE4C45"/>
    <w:rsid w:val="00FE6172"/>
    <w:rsid w:val="00FF08B7"/>
    <w:rsid w:val="00FF12B8"/>
    <w:rsid w:val="00FF521D"/>
    <w:rsid w:val="01A4EF58"/>
    <w:rsid w:val="0A827E38"/>
    <w:rsid w:val="0D700F1A"/>
    <w:rsid w:val="0DFC1533"/>
    <w:rsid w:val="0F49A059"/>
    <w:rsid w:val="113AEAE4"/>
    <w:rsid w:val="1158941B"/>
    <w:rsid w:val="137CE6C7"/>
    <w:rsid w:val="17B0772A"/>
    <w:rsid w:val="24270B4D"/>
    <w:rsid w:val="254D69F6"/>
    <w:rsid w:val="266DF79A"/>
    <w:rsid w:val="28E4438F"/>
    <w:rsid w:val="2BC1628C"/>
    <w:rsid w:val="3054F302"/>
    <w:rsid w:val="3281BA1D"/>
    <w:rsid w:val="3517FB75"/>
    <w:rsid w:val="3735A8F6"/>
    <w:rsid w:val="396E7323"/>
    <w:rsid w:val="3C187FEA"/>
    <w:rsid w:val="40619893"/>
    <w:rsid w:val="40AD7556"/>
    <w:rsid w:val="4348D147"/>
    <w:rsid w:val="4EFB2371"/>
    <w:rsid w:val="4F45EF66"/>
    <w:rsid w:val="53D08F30"/>
    <w:rsid w:val="57E00E6E"/>
    <w:rsid w:val="5FCE45EC"/>
    <w:rsid w:val="60299761"/>
    <w:rsid w:val="62B7E2D2"/>
    <w:rsid w:val="675D4ACB"/>
    <w:rsid w:val="6EF43B71"/>
    <w:rsid w:val="72BC45FF"/>
    <w:rsid w:val="7358D45D"/>
    <w:rsid w:val="7912E4EC"/>
    <w:rsid w:val="7C569625"/>
    <w:rsid w:val="7D01346B"/>
    <w:rsid w:val="7EA411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7DB1DDC8"/>
  <w14:defaultImageDpi w14:val="330"/>
  <w15:docId w15:val="{FD56E0A8-6D8F-41B5-B494-1367C506E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customStyle="1" w:styleId="PlainTable41">
    <w:name w:val="Plain Table 41"/>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rsid w:val="0008108C"/>
    <w:pPr>
      <w:ind w:left="720"/>
      <w:contextualSpacing/>
    </w:pPr>
  </w:style>
  <w:style w:type="paragraph" w:styleId="Caption">
    <w:name w:val="caption"/>
    <w:aliases w:val="eTRM Caption"/>
    <w:basedOn w:val="Normal"/>
    <w:next w:val="Normal"/>
    <w:link w:val="CaptionChar"/>
    <w:autoRedefine/>
    <w:unhideWhenUsed/>
    <w:qFormat/>
    <w:rsid w:val="00C60E6F"/>
    <w:pPr>
      <w:keepNext/>
      <w:keepLines/>
      <w:spacing w:before="240" w:after="80"/>
    </w:pPr>
    <w:rPr>
      <w:rFonts w:cs="Arial"/>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C60E6F"/>
    <w:rPr>
      <w:rFonts w:ascii="Calibri Light" w:hAnsi="Calibri Light" w:cs="Arial"/>
      <w:b/>
      <w:color w:val="000000"/>
      <w:sz w:val="20"/>
      <w:szCs w:val="22"/>
      <w14:textFill>
        <w14:solidFill>
          <w14:srgbClr w14:val="000000">
            <w14:lumMod w14:val="50000"/>
          </w14:srgbClr>
        </w14:solidFill>
      </w14:textFill>
    </w:rPr>
  </w:style>
  <w:style w:type="table" w:customStyle="1" w:styleId="PlainTable21">
    <w:name w:val="Plain Table 21"/>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basedOn w:val="Normal"/>
    <w:link w:val="FootnoteTextChar"/>
    <w:unhideWhenUsed/>
    <w:qFormat/>
    <w:rsid w:val="005E25DC"/>
    <w:rPr>
      <w:sz w:val="18"/>
    </w:rPr>
  </w:style>
  <w:style w:type="character" w:customStyle="1" w:styleId="FootnoteTextChar">
    <w:name w:val="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08108C"/>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1Light1">
    <w:name w:val="Grid Table 1 Light1"/>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462BB6"/>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62BB6"/>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character" w:styleId="PlaceholderText">
    <w:name w:val="Placeholder Text"/>
    <w:basedOn w:val="DefaultParagraphFont"/>
    <w:uiPriority w:val="99"/>
    <w:semiHidden/>
    <w:rsid w:val="00386A29"/>
    <w:rPr>
      <w:color w:val="808080"/>
    </w:rPr>
  </w:style>
  <w:style w:type="character" w:styleId="Emphasis">
    <w:name w:val="Emphasis"/>
    <w:basedOn w:val="DefaultParagraphFont"/>
    <w:uiPriority w:val="20"/>
    <w:qFormat/>
    <w:rsid w:val="00EE7FD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881176">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838300975">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88D83-6BF0-496C-A4C9-D035ECDC7734}">
  <ds:schemaRefs>
    <ds:schemaRef ds:uri="http://schemas.microsoft.com/sharepoint/v3/contenttype/forms"/>
  </ds:schemaRefs>
</ds:datastoreItem>
</file>

<file path=customXml/itemProps2.xml><?xml version="1.0" encoding="utf-8"?>
<ds:datastoreItem xmlns:ds="http://schemas.openxmlformats.org/officeDocument/2006/customXml" ds:itemID="{BDBDE302-180F-42F9-9514-759498ABD8E4}">
  <ds:schemaRefs>
    <ds:schemaRef ds:uri="http://www.w3.org/XML/1998/namespace"/>
    <ds:schemaRef ds:uri="http://schemas.microsoft.com/office/infopath/2007/PartnerControls"/>
    <ds:schemaRef ds:uri="http://purl.org/dc/elements/1.1/"/>
    <ds:schemaRef ds:uri="http://schemas.openxmlformats.org/package/2006/metadata/core-properties"/>
    <ds:schemaRef ds:uri="http://schemas.microsoft.com/office/2006/documentManagement/types"/>
    <ds:schemaRef ds:uri="http://purl.org/dc/dcmitype/"/>
    <ds:schemaRef ds:uri="2ffcc7f4-300b-449d-ad7b-164fecfeba5d"/>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E9AA1367-7C1E-4754-B054-F2A346C77671}"/>
</file>

<file path=customXml/itemProps4.xml><?xml version="1.0" encoding="utf-8"?>
<ds:datastoreItem xmlns:ds="http://schemas.openxmlformats.org/officeDocument/2006/customXml" ds:itemID="{E1022A09-58FB-4517-9FA0-370DC6403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0</TotalTime>
  <Pages>12</Pages>
  <Words>3444</Words>
  <Characters>19634</Characters>
  <Application>Microsoft Office Word</Application>
  <DocSecurity>0</DocSecurity>
  <Lines>163</Lines>
  <Paragraphs>46</Paragraphs>
  <ScaleCrop>false</ScaleCrop>
  <Manager/>
  <Company/>
  <LinksUpToDate>false</LinksUpToDate>
  <CharactersWithSpaces>23032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Bryan Boyce</cp:lastModifiedBy>
  <cp:revision>76</cp:revision>
  <cp:lastPrinted>2017-06-29T20:58:00Z</cp:lastPrinted>
  <dcterms:created xsi:type="dcterms:W3CDTF">2019-10-03T19:21:00Z</dcterms:created>
  <dcterms:modified xsi:type="dcterms:W3CDTF">2019-11-15T19:08:00Z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